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226"/>
        <w:gridCol w:w="712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6234A959" w:rsidR="00D7334F" w:rsidRDefault="00C4272E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1951A7D5" wp14:editId="7981497B">
                  <wp:extent cx="1276350" cy="123803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910" cy="124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68E12385" w:rsidR="00D7334F" w:rsidRPr="00E30150" w:rsidRDefault="00E65B00" w:rsidP="00E65B00">
            <w:pPr>
              <w:spacing w:before="60" w:after="60"/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9926AA" w:rsidRPr="009926AA">
              <w:rPr>
                <w:b/>
                <w:bCs/>
                <w:caps/>
                <w:color w:val="244061"/>
                <w:sz w:val="24"/>
                <w:szCs w:val="24"/>
              </w:rPr>
              <w:t>Моделювання та реінжиніринг бізнес-процесів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D87642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D87642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D87642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7B760E9F" w:rsidR="00D7334F" w:rsidRPr="0072702F" w:rsidRDefault="003D1822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  <w:bookmarkStart w:id="0" w:name="_GoBack"/>
            <w:bookmarkEnd w:id="0"/>
          </w:p>
        </w:tc>
      </w:tr>
      <w:tr w:rsidR="00D7334F" w14:paraId="648218BB" w14:textId="77777777" w:rsidTr="00D87642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D87642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78D7BB76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9926AA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D87642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D87642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D87642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2FEA7B7D" w:rsidR="00D7334F" w:rsidRPr="0072702F" w:rsidRDefault="009926AA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119A9DB0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p w14:paraId="73A01B70" w14:textId="77777777" w:rsidR="009926AA" w:rsidRDefault="009926AA" w:rsidP="00D7334F">
      <w:pPr>
        <w:rPr>
          <w:b/>
          <w:bCs/>
          <w:color w:val="244061"/>
          <w:sz w:val="24"/>
          <w:szCs w:val="24"/>
        </w:rPr>
      </w:pP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946"/>
      </w:tblGrid>
      <w:tr w:rsidR="00D7334F" w14:paraId="06853016" w14:textId="77777777" w:rsidTr="00D87642">
        <w:trPr>
          <w:trHeight w:val="515"/>
        </w:trPr>
        <w:tc>
          <w:tcPr>
            <w:tcW w:w="2977" w:type="dxa"/>
            <w:vMerge w:val="restart"/>
            <w:vAlign w:val="center"/>
          </w:tcPr>
          <w:p w14:paraId="454AB3D1" w14:textId="2CD3C137" w:rsidR="00603D53" w:rsidRDefault="009926AA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7C74D4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A82C0D" wp14:editId="5817CD1F">
                  <wp:extent cx="1126331" cy="15017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89" cy="150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1FE0B0B" w14:textId="0B0831D9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</w:p>
          <w:p w14:paraId="29FA686F" w14:textId="637D0B3D" w:rsidR="00D7334F" w:rsidRPr="0072702F" w:rsidRDefault="009926AA" w:rsidP="002076C2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ПИСЬМЕННА ОЛЕКСАНДРА ОЛЕКСАНДРІВНА</w:t>
            </w:r>
          </w:p>
        </w:tc>
      </w:tr>
      <w:tr w:rsidR="00D7334F" w14:paraId="46C26A14" w14:textId="77777777" w:rsidTr="00D87642">
        <w:tc>
          <w:tcPr>
            <w:tcW w:w="2977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3693928" w14:textId="7AC75D98" w:rsidR="00D7334F" w:rsidRPr="0072702F" w:rsidRDefault="00E8799C" w:rsidP="002076C2">
            <w:pPr>
              <w:rPr>
                <w:sz w:val="24"/>
                <w:szCs w:val="24"/>
              </w:rPr>
            </w:pPr>
            <w:hyperlink r:id="rId9" w:tgtFrame="_blank" w:history="1"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pysmenna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@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ust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edu</w:t>
              </w:r>
              <w:r w:rsidR="009926AA" w:rsidRPr="00171F19">
                <w:rPr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D7334F" w14:paraId="1E51A6F4" w14:textId="77777777" w:rsidTr="00D87642">
        <w:tc>
          <w:tcPr>
            <w:tcW w:w="2977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D87642">
        <w:trPr>
          <w:trHeight w:val="383"/>
        </w:trPr>
        <w:tc>
          <w:tcPr>
            <w:tcW w:w="2977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BA60E4" w14:textId="77777777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14:paraId="4F63D30D" w14:textId="77777777" w:rsidTr="00D87642">
        <w:trPr>
          <w:trHeight w:val="645"/>
        </w:trPr>
        <w:tc>
          <w:tcPr>
            <w:tcW w:w="2977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6AE1C2" w14:textId="1CB8CA9F" w:rsidR="00D7334F" w:rsidRPr="0072702F" w:rsidRDefault="00603D53" w:rsidP="00D8764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 xml:space="preserve">ІПБТ, пр. </w:t>
            </w:r>
            <w:r w:rsidR="00D87642">
              <w:rPr>
                <w:color w:val="000000"/>
                <w:sz w:val="24"/>
                <w:szCs w:val="24"/>
              </w:rPr>
              <w:t>Науки</w:t>
            </w:r>
            <w:r w:rsidRPr="0072702F">
              <w:rPr>
                <w:color w:val="000000"/>
                <w:sz w:val="24"/>
                <w:szCs w:val="24"/>
              </w:rPr>
              <w:t>, 4</w:t>
            </w:r>
            <w:r w:rsidR="00D7334F" w:rsidRPr="0072702F">
              <w:rPr>
                <w:color w:val="000000"/>
                <w:sz w:val="24"/>
                <w:szCs w:val="24"/>
              </w:rPr>
              <w:t>, кім</w:t>
            </w:r>
            <w:r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72702F">
              <w:rPr>
                <w:color w:val="000000"/>
                <w:sz w:val="24"/>
                <w:szCs w:val="24"/>
              </w:rPr>
              <w:t xml:space="preserve">. </w:t>
            </w:r>
            <w:r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D87642">
        <w:tc>
          <w:tcPr>
            <w:tcW w:w="2977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946" w:type="dxa"/>
          </w:tcPr>
          <w:p w14:paraId="1C90064A" w14:textId="1DD1B0EF" w:rsidR="00D7334F" w:rsidRPr="009926AA" w:rsidRDefault="009926AA" w:rsidP="0072702F">
            <w:pPr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Знання з економічного аналізу та діагностики, менеджменту, процесного управління, набуті на першому (бакалаврському) та другому (магістерському) рівнях вищої освіти, а також знання з дисциплін третього (</w:t>
            </w:r>
            <w:proofErr w:type="spellStart"/>
            <w:r w:rsidRPr="009926AA">
              <w:rPr>
                <w:sz w:val="24"/>
                <w:szCs w:val="24"/>
              </w:rPr>
              <w:t>освітньо</w:t>
            </w:r>
            <w:proofErr w:type="spellEnd"/>
            <w:r w:rsidRPr="009926AA">
              <w:rPr>
                <w:sz w:val="24"/>
                <w:szCs w:val="24"/>
              </w:rPr>
              <w:t>-наукового) рівня освіти з дисциплін, що передували вивченню «Моделювання та реінжиніринг бізнес-процесів»: «Філософія науки», «Управління науковими проєктами», «Інформаційні технології в наукових дослідженнях»</w:t>
            </w:r>
          </w:p>
        </w:tc>
      </w:tr>
      <w:tr w:rsidR="00D7334F" w14:paraId="1B73E602" w14:textId="77777777" w:rsidTr="00D87642">
        <w:tc>
          <w:tcPr>
            <w:tcW w:w="2977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946" w:type="dxa"/>
          </w:tcPr>
          <w:p w14:paraId="42DFB6C8" w14:textId="3536144E" w:rsidR="00D7334F" w:rsidRPr="00E65B00" w:rsidRDefault="009926AA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Формування системи знань щодо методологічних засад моделювання бізнес-процесів, їх інжинірингу, реінжинірингу та удосконалення, а також набуття практичних навичок моделювання та реінжинірингу бізнес-процесів.</w:t>
            </w:r>
          </w:p>
        </w:tc>
      </w:tr>
      <w:tr w:rsidR="00D7334F" w14:paraId="524549B1" w14:textId="77777777" w:rsidTr="00D87642">
        <w:tc>
          <w:tcPr>
            <w:tcW w:w="2977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946" w:type="dxa"/>
          </w:tcPr>
          <w:p w14:paraId="5C77E568" w14:textId="3D9642D4" w:rsidR="009926AA" w:rsidRPr="009926AA" w:rsidRDefault="009926AA" w:rsidP="009926AA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Ідентифікувати бізнес-процеси, формувати систему бізнес-процесів організації, класифікувати бізнес-процеси, визначати основні їх характеристики.</w:t>
            </w:r>
          </w:p>
          <w:p w14:paraId="488E9269" w14:textId="72EC4521" w:rsidR="009926AA" w:rsidRPr="009926AA" w:rsidRDefault="009926AA" w:rsidP="009926AA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 xml:space="preserve">Створювати опис бізнес-процесів та модель бізнес-процесів за допомогою графічних редакторів та спеціалізованого </w:t>
            </w:r>
            <w:r w:rsidRPr="009926AA">
              <w:rPr>
                <w:sz w:val="24"/>
                <w:szCs w:val="24"/>
              </w:rPr>
              <w:lastRenderedPageBreak/>
              <w:t>програмного забезпечення.</w:t>
            </w:r>
          </w:p>
          <w:p w14:paraId="640968B1" w14:textId="77777777" w:rsidR="003A5F9D" w:rsidRDefault="009926AA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>Оцінювати бізнес-процеси, встановлювати їх тривалість та вартість, рекомендувати способи їх удосконалення.</w:t>
            </w:r>
          </w:p>
          <w:p w14:paraId="17A93AE6" w14:textId="72528D73" w:rsidR="00877BDC" w:rsidRPr="009926AA" w:rsidRDefault="009926AA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 xml:space="preserve">Використовувати процесний підхід в управлінні підприємством (організацією), </w:t>
            </w:r>
            <w:proofErr w:type="spellStart"/>
            <w:r w:rsidRPr="009926AA">
              <w:rPr>
                <w:sz w:val="24"/>
                <w:szCs w:val="24"/>
              </w:rPr>
              <w:t>імплементувати</w:t>
            </w:r>
            <w:proofErr w:type="spellEnd"/>
            <w:r w:rsidRPr="009926AA">
              <w:rPr>
                <w:sz w:val="24"/>
                <w:szCs w:val="24"/>
              </w:rPr>
              <w:t xml:space="preserve"> елементи процесного підходу в загальну систему менеджменту підприємства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34F" w14:paraId="642E9F06" w14:textId="77777777" w:rsidTr="00D87642">
        <w:tc>
          <w:tcPr>
            <w:tcW w:w="2977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946" w:type="dxa"/>
          </w:tcPr>
          <w:p w14:paraId="0873C8E8" w14:textId="77777777" w:rsidR="003A5F9D" w:rsidRDefault="009926AA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3A5F9D">
              <w:rPr>
                <w:sz w:val="24"/>
                <w:szCs w:val="24"/>
              </w:rPr>
              <w:t>Розділ 1. Процесний підхід в управлінні організацією</w:t>
            </w:r>
          </w:p>
          <w:p w14:paraId="3B92E77A" w14:textId="7758103C" w:rsidR="00AC7A75" w:rsidRPr="003A5F9D" w:rsidRDefault="009926AA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3A5F9D">
              <w:rPr>
                <w:sz w:val="24"/>
                <w:szCs w:val="24"/>
              </w:rPr>
              <w:t>Розділ 2. Методології опису та підходи до документування й моделювання бізнес-процесів</w:t>
            </w:r>
          </w:p>
          <w:p w14:paraId="09B447AE" w14:textId="4609B465" w:rsidR="005034F5" w:rsidRPr="003A5F9D" w:rsidRDefault="009926AA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3A5F9D">
              <w:rPr>
                <w:sz w:val="24"/>
                <w:szCs w:val="24"/>
              </w:rPr>
              <w:t>Розділ 3. Реінжиніринг та удосконалення бізнес-процесів</w:t>
            </w:r>
          </w:p>
        </w:tc>
      </w:tr>
      <w:tr w:rsidR="00D7334F" w14:paraId="4C075834" w14:textId="77777777" w:rsidTr="00D87642">
        <w:tc>
          <w:tcPr>
            <w:tcW w:w="2977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946" w:type="dxa"/>
          </w:tcPr>
          <w:p w14:paraId="2F39809A" w14:textId="36E610F2"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D87642">
        <w:tc>
          <w:tcPr>
            <w:tcW w:w="2977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946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D87642">
        <w:tc>
          <w:tcPr>
            <w:tcW w:w="2977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946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:rsidRPr="003A5F9D" w14:paraId="2F0B3EE7" w14:textId="77777777" w:rsidTr="00D87642">
        <w:tc>
          <w:tcPr>
            <w:tcW w:w="2977" w:type="dxa"/>
          </w:tcPr>
          <w:p w14:paraId="054AAC0B" w14:textId="77777777" w:rsidR="00D7334F" w:rsidRPr="003A5F9D" w:rsidRDefault="00D7334F" w:rsidP="002076C2">
            <w:pPr>
              <w:rPr>
                <w:sz w:val="24"/>
                <w:szCs w:val="24"/>
              </w:rPr>
            </w:pPr>
            <w:r w:rsidRPr="00D87642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946" w:type="dxa"/>
          </w:tcPr>
          <w:p w14:paraId="36224793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Нетепчук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Управління бізнес-процесами: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Рівне: НУВГП, 2014. – 158 с.</w:t>
            </w:r>
          </w:p>
          <w:p w14:paraId="5C209D1B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Смерічевський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С.Ф., Захаров В.О. Управління бізнес-процесами: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посібник. – 2-ге вид. – Донецьк: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ДонДУУ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2007. – 199 с.</w:t>
            </w:r>
          </w:p>
          <w:p w14:paraId="6A37F251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Моделювання та реінжиніринг бізнес-процесів: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підручн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С.В. Козир, В.В.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Слєсарєв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С.А.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Т.В. Хом’як; М-во освіти і науки України;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ун-т «Дніпровська політехніка». – Дніпро: НТУ «ДП», 2022. – 163 с.</w:t>
            </w:r>
          </w:p>
          <w:p w14:paraId="7F5801A3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В. Загальний опис моделі ланцюжок створення цінності М. Портера URL: https://livingfo.com/zahalnyj-opys-modeli-lantsiuzhok-stvorennia-tsinnosti-m-portera/ </w:t>
            </w:r>
          </w:p>
          <w:p w14:paraId="6E43BFDA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ДСТУ ISO 9001:2015 (ISO 9001:2015, IDT) Системи управління якістю. Київ ДП «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УкрНДНЦ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2016</w:t>
            </w:r>
          </w:p>
          <w:p w14:paraId="3823EEEE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RACI - Матриця присвоєння відповідальності URL: </w:t>
            </w:r>
            <w:hyperlink r:id="rId10" w:history="1">
              <w:r w:rsidRPr="003A5F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https://uk.itpedia.nl/2017/04/05/responsibility-assignment-matrix-raci-model/</w:t>
              </w:r>
            </w:hyperlink>
          </w:p>
          <w:p w14:paraId="5591E71E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Автоматизація бізнес процесів: навчальний посібник до практичних занять: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спеціальності 151 «Автоматизація та комп’ютерно-інтегровані технології», 2-е вид., освітньо-професійна програма «Автоматизація та комп’ютерно-інтегровані технології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кіберенергетичних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систем»; уклад.: О.С.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Бунке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Електронні текстові дані (1 файл: 1,5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Мбайт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– Київ : КПІ ім. Ігоря Сікорського, 2021. – 39 с.</w:t>
            </w:r>
          </w:p>
          <w:p w14:paraId="595C4EC0" w14:textId="77777777" w:rsidR="003A5F9D" w:rsidRPr="003A5F9D" w:rsidRDefault="003A5F9D" w:rsidP="003A5F9D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Кайдзен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Японський метод управління URL: https://worksection.com/ua/blog/kaizen.html</w:t>
            </w:r>
          </w:p>
          <w:p w14:paraId="1CB6E210" w14:textId="4BB35CF3" w:rsidR="00D7334F" w:rsidRPr="003A5F9D" w:rsidRDefault="003A5F9D" w:rsidP="00D87642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276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Безродна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М. Управління якістю :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студентів економічних спеціальностей / 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Безродна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C. М. – Чернівці: ПВКФ «</w:t>
            </w:r>
            <w:proofErr w:type="spellStart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Технодрук</w:t>
            </w:r>
            <w:proofErr w:type="spellEnd"/>
            <w:r w:rsidRPr="003A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2017. – 174 с.</w:t>
            </w:r>
          </w:p>
        </w:tc>
      </w:tr>
    </w:tbl>
    <w:p w14:paraId="5D78FB82" w14:textId="77777777" w:rsidR="00D7334F" w:rsidRPr="003A5F9D" w:rsidRDefault="00D7334F" w:rsidP="00D7334F">
      <w:pPr>
        <w:shd w:val="clear" w:color="auto" w:fill="FFFFFF"/>
        <w:textAlignment w:val="baseline"/>
        <w:rPr>
          <w:sz w:val="24"/>
          <w:szCs w:val="24"/>
        </w:rPr>
      </w:pPr>
    </w:p>
    <w:sectPr w:rsidR="00D7334F" w:rsidRPr="003A5F9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FB8C8" w14:textId="77777777" w:rsidR="00E8799C" w:rsidRDefault="00E8799C">
      <w:r>
        <w:separator/>
      </w:r>
    </w:p>
  </w:endnote>
  <w:endnote w:type="continuationSeparator" w:id="0">
    <w:p w14:paraId="40334AE2" w14:textId="77777777" w:rsidR="00E8799C" w:rsidRDefault="00E8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2AF3A600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D1822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44A23" w14:textId="77777777" w:rsidR="00E8799C" w:rsidRDefault="00E8799C">
      <w:r>
        <w:separator/>
      </w:r>
    </w:p>
  </w:footnote>
  <w:footnote w:type="continuationSeparator" w:id="0">
    <w:p w14:paraId="32FB2321" w14:textId="77777777" w:rsidR="00E8799C" w:rsidRDefault="00E8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4C"/>
    <w:multiLevelType w:val="hybridMultilevel"/>
    <w:tmpl w:val="A3FC753A"/>
    <w:lvl w:ilvl="0" w:tplc="2EB66D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F553A4C"/>
    <w:multiLevelType w:val="multilevel"/>
    <w:tmpl w:val="C546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82D49"/>
    <w:multiLevelType w:val="hybridMultilevel"/>
    <w:tmpl w:val="2AB6162C"/>
    <w:lvl w:ilvl="0" w:tplc="713C9D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E034A43"/>
    <w:multiLevelType w:val="hybridMultilevel"/>
    <w:tmpl w:val="9A647E9A"/>
    <w:lvl w:ilvl="0" w:tplc="66A062D6">
      <w:start w:val="1"/>
      <w:numFmt w:val="decimal"/>
      <w:lvlText w:val="%1."/>
      <w:lvlJc w:val="left"/>
      <w:pPr>
        <w:ind w:left="810" w:hanging="450"/>
      </w:pPr>
      <w:rPr>
        <w:rFonts w:eastAsiaTheme="minorEastAsi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4BC5"/>
    <w:rsid w:val="00037A3E"/>
    <w:rsid w:val="000F255A"/>
    <w:rsid w:val="00171F19"/>
    <w:rsid w:val="00225A77"/>
    <w:rsid w:val="00262DCD"/>
    <w:rsid w:val="002A034E"/>
    <w:rsid w:val="002B3260"/>
    <w:rsid w:val="003954EC"/>
    <w:rsid w:val="003A5F9D"/>
    <w:rsid w:val="003D1822"/>
    <w:rsid w:val="005034F5"/>
    <w:rsid w:val="005C7E10"/>
    <w:rsid w:val="00603D53"/>
    <w:rsid w:val="00625E5F"/>
    <w:rsid w:val="0072702F"/>
    <w:rsid w:val="007C1A0F"/>
    <w:rsid w:val="007C6565"/>
    <w:rsid w:val="008073E4"/>
    <w:rsid w:val="00875727"/>
    <w:rsid w:val="00877BDC"/>
    <w:rsid w:val="009064B1"/>
    <w:rsid w:val="009926AA"/>
    <w:rsid w:val="009E03E0"/>
    <w:rsid w:val="009E4A59"/>
    <w:rsid w:val="009F08E8"/>
    <w:rsid w:val="00A016F5"/>
    <w:rsid w:val="00A83B04"/>
    <w:rsid w:val="00AC7A75"/>
    <w:rsid w:val="00B4547E"/>
    <w:rsid w:val="00BD46C2"/>
    <w:rsid w:val="00C11966"/>
    <w:rsid w:val="00C4272E"/>
    <w:rsid w:val="00CA1617"/>
    <w:rsid w:val="00CD544E"/>
    <w:rsid w:val="00D06913"/>
    <w:rsid w:val="00D7334F"/>
    <w:rsid w:val="00D83EE7"/>
    <w:rsid w:val="00D87642"/>
    <w:rsid w:val="00E30150"/>
    <w:rsid w:val="00E65B00"/>
    <w:rsid w:val="00E8799C"/>
    <w:rsid w:val="00E96DBB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k.itpedia.nl/2017/04/05/responsibility-assignment-matrix-raci-mod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o.pysmenna@ust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3045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12</cp:revision>
  <dcterms:created xsi:type="dcterms:W3CDTF">2025-01-28T16:28:00Z</dcterms:created>
  <dcterms:modified xsi:type="dcterms:W3CDTF">2025-02-04T15:25:00Z</dcterms:modified>
</cp:coreProperties>
</file>