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8467" w14:textId="77777777" w:rsidR="002E527B" w:rsidRDefault="002E527B" w:rsidP="00C43818">
      <w:pPr>
        <w:overflowPunct w:val="0"/>
        <w:textAlignment w:val="baseline"/>
        <w:rPr>
          <w:i/>
        </w:rPr>
      </w:pPr>
    </w:p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806616" w14:paraId="72CF0612" w14:textId="77777777" w:rsidTr="00D746F4">
        <w:trPr>
          <w:trHeight w:val="412"/>
        </w:trPr>
        <w:tc>
          <w:tcPr>
            <w:tcW w:w="9351" w:type="dxa"/>
            <w:gridSpan w:val="2"/>
          </w:tcPr>
          <w:p w14:paraId="28CD9B64" w14:textId="77777777" w:rsidR="00806616" w:rsidRPr="009C2782" w:rsidRDefault="00806616" w:rsidP="00D746F4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806616" w14:paraId="43E36EC0" w14:textId="77777777" w:rsidTr="00D746F4">
        <w:trPr>
          <w:trHeight w:val="1690"/>
        </w:trPr>
        <w:tc>
          <w:tcPr>
            <w:tcW w:w="2146" w:type="dxa"/>
          </w:tcPr>
          <w:p w14:paraId="0B28C9F7" w14:textId="77777777" w:rsidR="00806616" w:rsidRDefault="00806616" w:rsidP="00D746F4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8BA4FCF" wp14:editId="185DA0E3">
                  <wp:extent cx="990600" cy="1171575"/>
                  <wp:effectExtent l="0" t="0" r="0" b="0"/>
                  <wp:docPr id="1" name="Рисунок 2" descr="Зображення, що містить текст, символ, логотип, емблем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Зображення, що містить текст, символ, логотип, емблем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36D8D216" w14:textId="77777777" w:rsidR="00806616" w:rsidRDefault="00806616" w:rsidP="00D746F4">
            <w:pPr>
              <w:jc w:val="center"/>
              <w:rPr>
                <w:b/>
                <w:bCs/>
                <w:color w:val="244061"/>
              </w:rPr>
            </w:pPr>
          </w:p>
          <w:p w14:paraId="3700692A" w14:textId="77777777" w:rsidR="00806616" w:rsidRPr="009C2782" w:rsidRDefault="00806616" w:rsidP="00D746F4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25CF3B90" w14:textId="77777777" w:rsidR="00806616" w:rsidRPr="00A92FBB" w:rsidRDefault="00806616" w:rsidP="00D746F4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394F0B7" w14:textId="079175F2" w:rsidR="00806616" w:rsidRPr="00652A24" w:rsidRDefault="00652A24" w:rsidP="00806616">
            <w:pPr>
              <w:jc w:val="center"/>
              <w:rPr>
                <w:caps/>
                <w:sz w:val="36"/>
                <w:szCs w:val="36"/>
              </w:rPr>
            </w:pPr>
            <w:r w:rsidRPr="00652A24">
              <w:rPr>
                <w:b/>
                <w:bCs/>
                <w:caps/>
                <w:sz w:val="36"/>
                <w:szCs w:val="36"/>
              </w:rPr>
              <w:t>Еталони одиниць фізичних величин</w:t>
            </w:r>
          </w:p>
        </w:tc>
      </w:tr>
    </w:tbl>
    <w:p w14:paraId="071CA687" w14:textId="77777777" w:rsidR="00806616" w:rsidRPr="008B7D72" w:rsidRDefault="00806616" w:rsidP="00806616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806616" w14:paraId="176DED74" w14:textId="77777777" w:rsidTr="00D746F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2D364C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E88F6B8" w14:textId="50E8FC8A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 w:rsidRPr="009D16F9">
              <w:rPr>
                <w:sz w:val="24"/>
                <w:szCs w:val="24"/>
              </w:rPr>
              <w:t>Вибіркова навчальна дисципліна</w:t>
            </w:r>
          </w:p>
        </w:tc>
      </w:tr>
      <w:tr w:rsidR="00806616" w14:paraId="3C7FB125" w14:textId="77777777" w:rsidTr="00D746F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3B3150" w14:textId="77777777" w:rsidR="00806616" w:rsidRPr="00CC5D2A" w:rsidRDefault="00806616" w:rsidP="00D746F4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C5D2A">
              <w:rPr>
                <w:b/>
                <w:color w:val="1F3864" w:themeColor="accent1" w:themeShade="80"/>
                <w:sz w:val="22"/>
                <w:szCs w:val="22"/>
              </w:rPr>
              <w:t>Код та назва дисципліни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CDFB06A" w14:textId="010B937F" w:rsidR="00806616" w:rsidRPr="009806A8" w:rsidRDefault="00806616" w:rsidP="00D746F4">
            <w:pPr>
              <w:spacing w:line="228" w:lineRule="auto"/>
              <w:rPr>
                <w:sz w:val="24"/>
                <w:szCs w:val="24"/>
                <w:lang w:val="ru-RU"/>
              </w:rPr>
            </w:pPr>
            <w:r w:rsidRPr="009D16F9">
              <w:rPr>
                <w:rFonts w:eastAsia="Calibri"/>
                <w:bCs/>
                <w:sz w:val="24"/>
                <w:szCs w:val="24"/>
                <w:lang w:eastAsia="en-US"/>
              </w:rPr>
              <w:t>ВК2.6</w:t>
            </w:r>
            <w:r w:rsidRPr="009D16F9">
              <w:rPr>
                <w:rFonts w:eastAsia="Calibri"/>
                <w:bCs/>
                <w:sz w:val="24"/>
                <w:szCs w:val="24"/>
                <w:lang w:val="ru-RU" w:eastAsia="en-US"/>
              </w:rPr>
              <w:t>-</w:t>
            </w:r>
            <w:r w:rsidR="00652A24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2 </w:t>
            </w:r>
            <w:r w:rsidR="00652A24" w:rsidRPr="00652A24">
              <w:rPr>
                <w:rFonts w:eastAsia="Calibri"/>
                <w:bCs/>
                <w:sz w:val="24"/>
                <w:szCs w:val="24"/>
                <w:lang w:eastAsia="en-US"/>
              </w:rPr>
              <w:t>Еталони одиниць фізичних величин</w:t>
            </w:r>
            <w:r w:rsidR="00652A24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806616" w14:paraId="3193E6B7" w14:textId="77777777" w:rsidTr="00D746F4">
        <w:tc>
          <w:tcPr>
            <w:tcW w:w="3402" w:type="dxa"/>
            <w:tcBorders>
              <w:top w:val="single" w:sz="4" w:space="0" w:color="auto"/>
            </w:tcBorders>
          </w:tcPr>
          <w:p w14:paraId="09BB9BBB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Коди та назви спеціальностей, для яких пропонується навчальна дисципліна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0FCB3D6" w14:textId="77777777" w:rsidR="00806616" w:rsidRPr="00AE7786" w:rsidRDefault="00806616" w:rsidP="00D746F4">
            <w:pPr>
              <w:pStyle w:val="Default"/>
              <w:jc w:val="both"/>
              <w:rPr>
                <w:lang w:val="uk-UA"/>
              </w:rPr>
            </w:pPr>
            <w:r w:rsidRPr="00AE7786">
              <w:rPr>
                <w:lang w:val="uk-UA"/>
              </w:rPr>
              <w:t>G6 Інформаційно-вимірювальні технології</w:t>
            </w:r>
          </w:p>
          <w:p w14:paraId="1D326686" w14:textId="36A12A0D" w:rsidR="00806616" w:rsidRPr="00AE7786" w:rsidRDefault="00806616" w:rsidP="00D746F4">
            <w:pPr>
              <w:pStyle w:val="Default"/>
              <w:jc w:val="both"/>
              <w:rPr>
                <w:lang w:val="uk-UA"/>
              </w:rPr>
            </w:pPr>
          </w:p>
        </w:tc>
      </w:tr>
      <w:tr w:rsidR="00806616" w14:paraId="0938E732" w14:textId="77777777" w:rsidTr="00D746F4">
        <w:tc>
          <w:tcPr>
            <w:tcW w:w="3402" w:type="dxa"/>
          </w:tcPr>
          <w:p w14:paraId="1206D1A0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Рівень вищої освіти</w:t>
            </w:r>
          </w:p>
        </w:tc>
        <w:tc>
          <w:tcPr>
            <w:tcW w:w="5812" w:type="dxa"/>
          </w:tcPr>
          <w:p w14:paraId="2AA4A41E" w14:textId="77777777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</w:t>
            </w:r>
            <w:r w:rsidRPr="00E7046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бакалав</w:t>
            </w:r>
            <w:r w:rsidRPr="00E7046B">
              <w:rPr>
                <w:sz w:val="24"/>
                <w:szCs w:val="24"/>
              </w:rPr>
              <w:t>рський)</w:t>
            </w:r>
          </w:p>
        </w:tc>
      </w:tr>
      <w:tr w:rsidR="00806616" w14:paraId="04F5544A" w14:textId="77777777" w:rsidTr="00D746F4">
        <w:trPr>
          <w:trHeight w:val="220"/>
        </w:trPr>
        <w:tc>
          <w:tcPr>
            <w:tcW w:w="3402" w:type="dxa"/>
          </w:tcPr>
          <w:p w14:paraId="670A29E6" w14:textId="77777777" w:rsidR="00806616" w:rsidRDefault="00806616" w:rsidP="00D746F4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0BF65A5D" w14:textId="77777777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кредити ЄКТС </w:t>
            </w:r>
          </w:p>
        </w:tc>
      </w:tr>
      <w:tr w:rsidR="00806616" w14:paraId="58ED2B46" w14:textId="77777777" w:rsidTr="00D746F4">
        <w:tc>
          <w:tcPr>
            <w:tcW w:w="3402" w:type="dxa"/>
          </w:tcPr>
          <w:p w14:paraId="52AF5EB1" w14:textId="77777777" w:rsidR="00806616" w:rsidRDefault="00806616" w:rsidP="00D746F4">
            <w:pPr>
              <w:rPr>
                <w:b/>
                <w:color w:val="244061"/>
                <w:sz w:val="24"/>
                <w:szCs w:val="24"/>
              </w:rPr>
            </w:pPr>
            <w:r w:rsidRPr="00A27D1B">
              <w:rPr>
                <w:b/>
                <w:bCs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2CD094E7" w14:textId="43F932C2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та 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с</w:t>
            </w:r>
            <w:r w:rsidRPr="00E7046B">
              <w:rPr>
                <w:sz w:val="24"/>
                <w:szCs w:val="24"/>
              </w:rPr>
              <w:t>еместр</w:t>
            </w:r>
            <w:r>
              <w:rPr>
                <w:sz w:val="24"/>
                <w:szCs w:val="24"/>
              </w:rPr>
              <w:t>и (</w:t>
            </w:r>
            <w:r w:rsidRPr="009D16F9">
              <w:rPr>
                <w:sz w:val="24"/>
                <w:szCs w:val="24"/>
              </w:rPr>
              <w:t xml:space="preserve"> півсеместри 14 та 15</w:t>
            </w:r>
            <w:r>
              <w:rPr>
                <w:sz w:val="24"/>
                <w:szCs w:val="24"/>
              </w:rPr>
              <w:t>)</w:t>
            </w:r>
          </w:p>
        </w:tc>
      </w:tr>
      <w:tr w:rsidR="00806616" w14:paraId="6CD009C7" w14:textId="77777777" w:rsidTr="00D746F4">
        <w:tc>
          <w:tcPr>
            <w:tcW w:w="3402" w:type="dxa"/>
          </w:tcPr>
          <w:p w14:paraId="1DA1EF9A" w14:textId="77777777" w:rsidR="00806616" w:rsidRDefault="00806616" w:rsidP="00D746F4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кафедри, яка викладає дисципліну</w:t>
            </w:r>
          </w:p>
        </w:tc>
        <w:tc>
          <w:tcPr>
            <w:tcW w:w="5812" w:type="dxa"/>
          </w:tcPr>
          <w:p w14:paraId="6871B23F" w14:textId="77777777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806616" w14:paraId="79833C14" w14:textId="77777777" w:rsidTr="00D746F4">
        <w:tc>
          <w:tcPr>
            <w:tcW w:w="3402" w:type="dxa"/>
          </w:tcPr>
          <w:p w14:paraId="041410E8" w14:textId="77777777" w:rsidR="00806616" w:rsidRDefault="00806616" w:rsidP="00D746F4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10D94044" w14:textId="77777777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 w:rsidRPr="00E7046B">
              <w:rPr>
                <w:sz w:val="24"/>
                <w:szCs w:val="24"/>
              </w:rPr>
              <w:t>Українська</w:t>
            </w:r>
          </w:p>
        </w:tc>
      </w:tr>
    </w:tbl>
    <w:p w14:paraId="3AA4C121" w14:textId="77777777" w:rsidR="00806616" w:rsidRPr="008B7D72" w:rsidRDefault="00806616" w:rsidP="00806616">
      <w:pPr>
        <w:rPr>
          <w:b/>
          <w:bCs/>
          <w:sz w:val="16"/>
          <w:szCs w:val="16"/>
        </w:rPr>
      </w:pPr>
    </w:p>
    <w:p w14:paraId="5D91DE30" w14:textId="77777777" w:rsidR="00806616" w:rsidRDefault="00806616" w:rsidP="00806616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викладачі)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806616" w:rsidRPr="00BE7B88" w14:paraId="77CDEB58" w14:textId="77777777" w:rsidTr="00D746F4">
        <w:trPr>
          <w:trHeight w:val="2029"/>
        </w:trPr>
        <w:tc>
          <w:tcPr>
            <w:tcW w:w="3402" w:type="dxa"/>
            <w:vAlign w:val="center"/>
          </w:tcPr>
          <w:p w14:paraId="4913F09E" w14:textId="77777777" w:rsidR="00806616" w:rsidRPr="009D16F9" w:rsidRDefault="00806616" w:rsidP="00806616">
            <w:pPr>
              <w:jc w:val="center"/>
              <w:rPr>
                <w:b/>
                <w:bCs/>
                <w:sz w:val="24"/>
                <w:szCs w:val="24"/>
              </w:rPr>
            </w:pPr>
            <w:r w:rsidRPr="009D16F9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0AD800DF" wp14:editId="1BA62A54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1530348883" name="Рисунок 1530348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6F9">
              <w:rPr>
                <w:b/>
                <w:bCs/>
                <w:sz w:val="24"/>
                <w:szCs w:val="24"/>
              </w:rPr>
              <w:t>Фото</w:t>
            </w:r>
          </w:p>
          <w:p w14:paraId="7D6D9A9B" w14:textId="1D02ADF3" w:rsidR="00806616" w:rsidRDefault="00806616" w:rsidP="00806616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D16F9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70D1386C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BE7B88">
              <w:rPr>
                <w:sz w:val="24"/>
                <w:szCs w:val="24"/>
                <w:lang w:val="pt-BR"/>
              </w:rPr>
              <w:t xml:space="preserve"> </w:t>
            </w:r>
          </w:p>
          <w:p w14:paraId="256E7ADA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 xml:space="preserve">Корпоративний Е-mail: </w:t>
            </w:r>
            <w:r w:rsidRPr="00BE7B88">
              <w:rPr>
                <w:sz w:val="24"/>
                <w:szCs w:val="24"/>
                <w:lang w:val="en-US"/>
              </w:rPr>
              <w:t>k</w:t>
            </w:r>
            <w:r w:rsidRPr="00BE7B88">
              <w:rPr>
                <w:sz w:val="24"/>
                <w:szCs w:val="24"/>
              </w:rPr>
              <w:t>.</w:t>
            </w:r>
            <w:r w:rsidRPr="00BE7B88">
              <w:rPr>
                <w:sz w:val="24"/>
                <w:szCs w:val="24"/>
                <w:lang w:val="en-US"/>
              </w:rPr>
              <w:t>o</w:t>
            </w:r>
            <w:r w:rsidRPr="00BE7B88">
              <w:rPr>
                <w:sz w:val="24"/>
                <w:szCs w:val="24"/>
              </w:rPr>
              <w:t>.</w:t>
            </w:r>
            <w:r w:rsidRPr="00BE7B88">
              <w:rPr>
                <w:sz w:val="24"/>
                <w:szCs w:val="24"/>
                <w:lang w:val="en-US"/>
              </w:rPr>
              <w:t>ch</w:t>
            </w:r>
            <w:r w:rsidRPr="00BE7B88">
              <w:rPr>
                <w:sz w:val="24"/>
                <w:szCs w:val="24"/>
              </w:rPr>
              <w:t>o</w:t>
            </w:r>
            <w:r w:rsidRPr="00BE7B88">
              <w:rPr>
                <w:sz w:val="24"/>
                <w:szCs w:val="24"/>
                <w:lang w:val="en-US"/>
              </w:rPr>
              <w:t>rnoivanenko</w:t>
            </w:r>
            <w:r w:rsidRPr="00BE7B88">
              <w:rPr>
                <w:sz w:val="24"/>
                <w:szCs w:val="24"/>
              </w:rPr>
              <w:t>@ust.edu.ua</w:t>
            </w:r>
          </w:p>
          <w:p w14:paraId="1A6BBB2A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e-</w:t>
            </w:r>
            <w:r w:rsidRPr="00BE7B88">
              <w:rPr>
                <w:sz w:val="24"/>
                <w:szCs w:val="24"/>
                <w:lang w:val="de-DE"/>
              </w:rPr>
              <w:t>mail</w:t>
            </w:r>
            <w:r w:rsidRPr="00BE7B88">
              <w:rPr>
                <w:sz w:val="24"/>
                <w:szCs w:val="24"/>
              </w:rPr>
              <w:t xml:space="preserve">: </w:t>
            </w:r>
            <w:hyperlink r:id="rId9" w:history="1">
              <w:r w:rsidRPr="00BE7B88">
                <w:rPr>
                  <w:rStyle w:val="a4"/>
                  <w:sz w:val="24"/>
                  <w:szCs w:val="24"/>
                </w:rPr>
                <w:t>ekatmovchan@</w:t>
              </w:r>
              <w:r w:rsidRPr="00BE7B88">
                <w:rPr>
                  <w:rStyle w:val="a4"/>
                  <w:sz w:val="24"/>
                  <w:szCs w:val="24"/>
                  <w:lang w:val="pt-BR"/>
                </w:rPr>
                <w:t>gmail.com</w:t>
              </w:r>
            </w:hyperlink>
            <w:r w:rsidRPr="00BE7B88">
              <w:rPr>
                <w:sz w:val="24"/>
                <w:szCs w:val="24"/>
              </w:rPr>
              <w:t xml:space="preserve">  </w:t>
            </w:r>
            <w:r w:rsidRPr="00BE7B88">
              <w:rPr>
                <w:sz w:val="24"/>
                <w:szCs w:val="24"/>
                <w:lang w:val="pt-BR"/>
              </w:rPr>
              <w:t xml:space="preserve"> </w:t>
            </w:r>
          </w:p>
          <w:p w14:paraId="31F7F60D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  <w:p w14:paraId="10A7289E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Пр. Гагаріна, 4, кімн. 282</w:t>
            </w:r>
          </w:p>
        </w:tc>
      </w:tr>
    </w:tbl>
    <w:p w14:paraId="31CA86C8" w14:textId="77777777" w:rsidR="00806616" w:rsidRDefault="00806616" w:rsidP="00806616">
      <w:pPr>
        <w:rPr>
          <w:b/>
          <w:bCs/>
          <w:sz w:val="16"/>
          <w:szCs w:val="16"/>
        </w:rPr>
      </w:pPr>
    </w:p>
    <w:p w14:paraId="41A16B37" w14:textId="77777777" w:rsidR="00806616" w:rsidRPr="008B7D72" w:rsidRDefault="00806616" w:rsidP="00806616">
      <w:pPr>
        <w:rPr>
          <w:b/>
          <w:bCs/>
          <w:sz w:val="16"/>
          <w:szCs w:val="16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806616" w14:paraId="7EBBFC7E" w14:textId="77777777" w:rsidTr="00D746F4">
        <w:tc>
          <w:tcPr>
            <w:tcW w:w="3397" w:type="dxa"/>
          </w:tcPr>
          <w:p w14:paraId="689AFE89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1D23BAA5" w14:textId="669C6A33" w:rsidR="00806616" w:rsidRPr="00041347" w:rsidRDefault="00806616" w:rsidP="00D746F4">
            <w:pPr>
              <w:pStyle w:val="Default"/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 та ін.), загально-наукових та загально-технічних дисциплін Циклу фахової підготовки («Вища математика», «Фізика», «Алгоритмізація та програмування», «Електротехніка»), фахових дисциплін цього циклу («Метрологія», «Вимірювальні перетворювачі», «Методи та засоби вимірювань та контроль», «Опрацювання результатів вимірювань» та ін.).</w:t>
            </w:r>
          </w:p>
        </w:tc>
      </w:tr>
      <w:tr w:rsidR="00806616" w14:paraId="37F878A7" w14:textId="77777777" w:rsidTr="00D746F4">
        <w:tc>
          <w:tcPr>
            <w:tcW w:w="3397" w:type="dxa"/>
          </w:tcPr>
          <w:p w14:paraId="0CD26297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7E1CF539" w14:textId="4E49EBD5" w:rsidR="00806616" w:rsidRPr="00112A7B" w:rsidRDefault="00806616" w:rsidP="00D746F4">
            <w:pPr>
              <w:jc w:val="both"/>
              <w:rPr>
                <w:sz w:val="24"/>
                <w:szCs w:val="24"/>
              </w:rPr>
            </w:pPr>
            <w:r w:rsidRPr="009D16F9">
              <w:rPr>
                <w:bCs/>
                <w:sz w:val="24"/>
                <w:szCs w:val="24"/>
              </w:rPr>
              <w:t>Набуття знань та практичних навичок щодо застосування методів і засобів метрологічної перевірки вимірювальної техніки для забезпечення єдності вимірювань фізичних величин із використанням еталонів різного рівня, а також ознайомлення з принципами та методологією метрологічного забезпечення виробництва на всіх його стадіях згідно з чинними нормативними вимогами.</w:t>
            </w:r>
          </w:p>
        </w:tc>
      </w:tr>
      <w:tr w:rsidR="00652A24" w14:paraId="65514ED2" w14:textId="77777777" w:rsidTr="00D746F4">
        <w:trPr>
          <w:trHeight w:val="141"/>
        </w:trPr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14:paraId="52397CB4" w14:textId="77777777" w:rsidR="00652A24" w:rsidRDefault="00652A24" w:rsidP="00652A2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DDA9" w14:textId="14FB25AD" w:rsidR="00652A24" w:rsidRPr="00652A24" w:rsidRDefault="00652A24" w:rsidP="00652A24">
            <w:pPr>
              <w:pStyle w:val="ab"/>
              <w:spacing w:line="228" w:lineRule="auto"/>
              <w:ind w:left="335" w:hanging="335"/>
              <w:jc w:val="left"/>
              <w:rPr>
                <w:sz w:val="24"/>
                <w:szCs w:val="24"/>
                <w:lang w:val="uk-UA"/>
              </w:rPr>
            </w:pPr>
            <w:r w:rsidRPr="00652A24">
              <w:rPr>
                <w:sz w:val="24"/>
                <w:szCs w:val="24"/>
                <w:lang w:val="uk-UA"/>
              </w:rPr>
              <w:t xml:space="preserve">ОРН1. </w:t>
            </w:r>
            <w:r w:rsidRPr="00652A24">
              <w:rPr>
                <w:sz w:val="24"/>
                <w:szCs w:val="24"/>
                <w:lang w:val="uk-UA" w:eastAsia="en-US"/>
              </w:rPr>
              <w:t>Визначати основні вимоги нормативної документації та особливості її застосування при забезпеченні єдності вимірювань за допомогою еталонів різного рівня.</w:t>
            </w:r>
          </w:p>
        </w:tc>
      </w:tr>
      <w:tr w:rsidR="00652A24" w14:paraId="753D1890" w14:textId="77777777" w:rsidTr="00D746F4">
        <w:trPr>
          <w:trHeight w:val="138"/>
        </w:trPr>
        <w:tc>
          <w:tcPr>
            <w:tcW w:w="3397" w:type="dxa"/>
            <w:vMerge/>
          </w:tcPr>
          <w:p w14:paraId="7B49B17E" w14:textId="77777777" w:rsidR="00652A24" w:rsidRDefault="00652A24" w:rsidP="00652A24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327F" w14:textId="349015BC" w:rsidR="00652A24" w:rsidRPr="00652A24" w:rsidRDefault="00652A24" w:rsidP="00652A24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652A24">
              <w:rPr>
                <w:lang w:val="uk-UA"/>
              </w:rPr>
              <w:t xml:space="preserve">ОРН2. </w:t>
            </w:r>
            <w:r w:rsidRPr="00652A24">
              <w:rPr>
                <w:lang w:val="uk-UA" w:eastAsia="en-US"/>
              </w:rPr>
              <w:t>Застосовувати методологію метрологічного забезпечення виробництва на всіх його етапах згідно з нормативними вимогами.</w:t>
            </w:r>
          </w:p>
        </w:tc>
      </w:tr>
      <w:tr w:rsidR="00652A24" w14:paraId="12E2294B" w14:textId="77777777" w:rsidTr="00D746F4">
        <w:trPr>
          <w:trHeight w:val="138"/>
        </w:trPr>
        <w:tc>
          <w:tcPr>
            <w:tcW w:w="3397" w:type="dxa"/>
            <w:vMerge/>
          </w:tcPr>
          <w:p w14:paraId="43E431C4" w14:textId="77777777" w:rsidR="00652A24" w:rsidRDefault="00652A24" w:rsidP="00652A24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03F2" w14:textId="6059488F" w:rsidR="00652A24" w:rsidRPr="00652A24" w:rsidRDefault="00652A24" w:rsidP="00652A24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652A24">
              <w:rPr>
                <w:lang w:val="uk-UA"/>
              </w:rPr>
              <w:t xml:space="preserve">ОРН3. </w:t>
            </w:r>
            <w:r w:rsidRPr="00652A24">
              <w:rPr>
                <w:shd w:val="clear" w:color="auto" w:fill="FFFFFF"/>
                <w:lang w:val="uk-UA"/>
              </w:rPr>
              <w:t>Вибирати систему відтворення величин і передачі їх розмірів робочим засобам вимірювань з установленою точністю.</w:t>
            </w:r>
          </w:p>
        </w:tc>
      </w:tr>
      <w:tr w:rsidR="00652A24" w14:paraId="7C461C58" w14:textId="77777777" w:rsidTr="00806616">
        <w:trPr>
          <w:trHeight w:val="138"/>
        </w:trPr>
        <w:tc>
          <w:tcPr>
            <w:tcW w:w="3397" w:type="dxa"/>
            <w:vMerge/>
          </w:tcPr>
          <w:p w14:paraId="0956D593" w14:textId="77777777" w:rsidR="00652A24" w:rsidRDefault="00652A24" w:rsidP="00652A24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2C23" w14:textId="58CBA320" w:rsidR="00652A24" w:rsidRPr="00652A24" w:rsidRDefault="00652A24" w:rsidP="00652A24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652A24">
              <w:rPr>
                <w:lang w:val="uk-UA"/>
              </w:rPr>
              <w:t>ОРН4. Оцінювати необхідність впровадження нових методів, методик, еталонів, стандартних зразків та організувати їх використання.</w:t>
            </w:r>
          </w:p>
        </w:tc>
      </w:tr>
      <w:tr w:rsidR="00652A24" w14:paraId="44464A43" w14:textId="77777777" w:rsidTr="00806616">
        <w:trPr>
          <w:trHeight w:val="138"/>
        </w:trPr>
        <w:tc>
          <w:tcPr>
            <w:tcW w:w="3397" w:type="dxa"/>
            <w:vMerge/>
          </w:tcPr>
          <w:p w14:paraId="22203889" w14:textId="77777777" w:rsidR="00652A24" w:rsidRDefault="00652A24" w:rsidP="00652A24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5A561" w14:textId="3F028794" w:rsidR="00652A24" w:rsidRPr="00652A24" w:rsidRDefault="00652A24" w:rsidP="00652A24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652A24">
              <w:rPr>
                <w:lang w:val="uk-UA"/>
              </w:rPr>
              <w:t xml:space="preserve">ОРН5. </w:t>
            </w:r>
            <w:r w:rsidRPr="00652A24">
              <w:rPr>
                <w:bCs/>
                <w:lang w:val="uk-UA"/>
              </w:rPr>
              <w:t>Знати нормативні документи, які регламентують аспекти коректного застосування засобів вимірювальної техніки, зокрема - еталонів  фізичних величин з урахуванням вимог державної та міжнародної метрологічної системи.</w:t>
            </w:r>
          </w:p>
        </w:tc>
      </w:tr>
      <w:tr w:rsidR="00652A24" w14:paraId="657A3EC6" w14:textId="77777777" w:rsidTr="00806616">
        <w:trPr>
          <w:trHeight w:val="138"/>
        </w:trPr>
        <w:tc>
          <w:tcPr>
            <w:tcW w:w="3397" w:type="dxa"/>
            <w:vMerge/>
          </w:tcPr>
          <w:p w14:paraId="29AB756E" w14:textId="77777777" w:rsidR="00652A24" w:rsidRDefault="00652A24" w:rsidP="00652A24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4C9B0" w14:textId="399175DA" w:rsidR="00652A24" w:rsidRPr="00652A24" w:rsidRDefault="00652A24" w:rsidP="00652A24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652A24">
              <w:rPr>
                <w:lang w:val="uk-UA"/>
              </w:rPr>
              <w:t xml:space="preserve">ОРН6. </w:t>
            </w:r>
            <w:r w:rsidRPr="00652A24">
              <w:rPr>
                <w:lang w:val="uk-UA" w:eastAsia="en-US"/>
              </w:rPr>
              <w:t>Застосовувати методологію метрологічного забезпечення виробництва на всіх його етапах згідно з нормативними вимогами.</w:t>
            </w:r>
          </w:p>
        </w:tc>
      </w:tr>
      <w:tr w:rsidR="00652A24" w14:paraId="47E4373C" w14:textId="77777777" w:rsidTr="00806616">
        <w:trPr>
          <w:trHeight w:val="138"/>
        </w:trPr>
        <w:tc>
          <w:tcPr>
            <w:tcW w:w="3397" w:type="dxa"/>
            <w:vMerge/>
          </w:tcPr>
          <w:p w14:paraId="64A0ED7C" w14:textId="77777777" w:rsidR="00652A24" w:rsidRDefault="00652A24" w:rsidP="00652A24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3A02B" w14:textId="1D3C00D5" w:rsidR="00652A24" w:rsidRPr="00652A24" w:rsidRDefault="00652A24" w:rsidP="00652A24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652A24">
              <w:rPr>
                <w:lang w:val="uk-UA"/>
              </w:rPr>
              <w:t xml:space="preserve">ОРН7. </w:t>
            </w:r>
            <w:r w:rsidRPr="00652A24">
              <w:rPr>
                <w:lang w:val="uk-UA" w:eastAsia="en-US"/>
              </w:rPr>
              <w:t>Тестувати засоби вимірювальної техніки на відповідність вимогам їх застосування.</w:t>
            </w:r>
          </w:p>
        </w:tc>
      </w:tr>
      <w:tr w:rsidR="00652A24" w14:paraId="0C85EF76" w14:textId="77777777" w:rsidTr="00E055C6">
        <w:trPr>
          <w:trHeight w:val="70"/>
        </w:trPr>
        <w:tc>
          <w:tcPr>
            <w:tcW w:w="3397" w:type="dxa"/>
            <w:vMerge/>
          </w:tcPr>
          <w:p w14:paraId="51132793" w14:textId="77777777" w:rsidR="00652A24" w:rsidRDefault="00652A24" w:rsidP="00652A24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66E223D7" w14:textId="5D0F4568" w:rsidR="00652A24" w:rsidRPr="00652A24" w:rsidRDefault="00652A24" w:rsidP="00652A24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652A24">
              <w:rPr>
                <w:lang w:val="uk-UA"/>
              </w:rPr>
              <w:t>ОРН8. Оцінювати відповідність застосовуваних методів та методик вимірювань фізичних величин чинним стандартам та нормативним документам.</w:t>
            </w:r>
          </w:p>
        </w:tc>
      </w:tr>
    </w:tbl>
    <w:p w14:paraId="5C5AF749" w14:textId="77777777" w:rsidR="00806616" w:rsidRDefault="00806616" w:rsidP="00C43818">
      <w:pPr>
        <w:overflowPunct w:val="0"/>
        <w:textAlignment w:val="baseline"/>
        <w:rPr>
          <w:iCs/>
        </w:rPr>
      </w:pPr>
    </w:p>
    <w:p w14:paraId="2BE7638A" w14:textId="77777777" w:rsidR="00B847C5" w:rsidRPr="00A40301" w:rsidRDefault="00B847C5" w:rsidP="00B847C5">
      <w:pPr>
        <w:spacing w:before="120" w:after="120"/>
        <w:jc w:val="center"/>
        <w:rPr>
          <w:sz w:val="24"/>
          <w:szCs w:val="24"/>
        </w:rPr>
      </w:pPr>
      <w:r w:rsidRPr="00A40301">
        <w:rPr>
          <w:sz w:val="24"/>
          <w:szCs w:val="24"/>
        </w:rPr>
        <w:t>Види та обсяг навчальної діяльності в академічних годинах</w:t>
      </w:r>
    </w:p>
    <w:p w14:paraId="0ECB9321" w14:textId="66E2777A" w:rsidR="00806616" w:rsidRPr="004E7030" w:rsidRDefault="00B847C5" w:rsidP="00B847C5">
      <w:pPr>
        <w:jc w:val="center"/>
        <w:rPr>
          <w:b/>
          <w:sz w:val="28"/>
        </w:rPr>
      </w:pPr>
      <w:r w:rsidRPr="005C5FF2">
        <w:rPr>
          <w:sz w:val="24"/>
          <w:szCs w:val="24"/>
        </w:rPr>
        <w:t>Денна форма освіти</w:t>
      </w:r>
    </w:p>
    <w:tbl>
      <w:tblPr>
        <w:tblW w:w="47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2"/>
        <w:gridCol w:w="881"/>
        <w:gridCol w:w="885"/>
        <w:gridCol w:w="992"/>
        <w:gridCol w:w="992"/>
        <w:gridCol w:w="992"/>
      </w:tblGrid>
      <w:tr w:rsidR="00806616" w:rsidRPr="004E7030" w14:paraId="6434992E" w14:textId="77777777" w:rsidTr="00D746F4">
        <w:trPr>
          <w:cantSplit/>
          <w:tblHeader/>
          <w:jc w:val="center"/>
        </w:trPr>
        <w:tc>
          <w:tcPr>
            <w:tcW w:w="2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008D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 xml:space="preserve">Види </w:t>
            </w:r>
          </w:p>
          <w:p w14:paraId="2399F778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навчальної діяльності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76CB1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Усього</w:t>
            </w:r>
          </w:p>
        </w:tc>
        <w:tc>
          <w:tcPr>
            <w:tcW w:w="2195" w:type="pct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BD1A1AF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Семестри/півсеместри</w:t>
            </w:r>
          </w:p>
        </w:tc>
      </w:tr>
      <w:tr w:rsidR="00806616" w:rsidRPr="004E7030" w14:paraId="64DC1330" w14:textId="77777777" w:rsidTr="00D746F4">
        <w:trPr>
          <w:cantSplit/>
          <w:tblHeader/>
          <w:jc w:val="center"/>
        </w:trPr>
        <w:tc>
          <w:tcPr>
            <w:tcW w:w="23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5550C" w14:textId="77777777" w:rsidR="00806616" w:rsidRPr="004E7030" w:rsidRDefault="00806616" w:rsidP="00D746F4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9750" w14:textId="77777777" w:rsidR="00806616" w:rsidRPr="004E7030" w:rsidRDefault="00806616" w:rsidP="00D746F4">
            <w:pPr>
              <w:rPr>
                <w:sz w:val="22"/>
                <w:szCs w:val="22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8565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7</w:t>
            </w:r>
          </w:p>
        </w:tc>
        <w:tc>
          <w:tcPr>
            <w:tcW w:w="11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F1B4969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8</w:t>
            </w:r>
          </w:p>
        </w:tc>
      </w:tr>
      <w:tr w:rsidR="00806616" w:rsidRPr="004E7030" w14:paraId="563A51F7" w14:textId="77777777" w:rsidTr="00D746F4">
        <w:trPr>
          <w:cantSplit/>
          <w:trHeight w:val="244"/>
          <w:tblHeader/>
          <w:jc w:val="center"/>
        </w:trPr>
        <w:tc>
          <w:tcPr>
            <w:tcW w:w="23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14AB" w14:textId="77777777" w:rsidR="00806616" w:rsidRPr="004E7030" w:rsidRDefault="00806616" w:rsidP="00D746F4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AC41B" w14:textId="77777777" w:rsidR="00806616" w:rsidRPr="004E7030" w:rsidRDefault="00806616" w:rsidP="00D746F4">
            <w:pPr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0D6E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7/13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3C0E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7/14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ED21B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8/15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FBF3AAA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8/16</w:t>
            </w:r>
          </w:p>
        </w:tc>
      </w:tr>
      <w:tr w:rsidR="00806616" w:rsidRPr="004E7030" w14:paraId="6D89C01A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75224" w14:textId="77777777" w:rsidR="00806616" w:rsidRPr="004E7030" w:rsidRDefault="00806616" w:rsidP="00D746F4">
            <w:pPr>
              <w:jc w:val="both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Усього годин за навчальним планом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4C6E7A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B1AA7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E564EF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5DE62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7539BB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115A2BB6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B929D" w14:textId="77777777" w:rsidR="00806616" w:rsidRPr="004E7030" w:rsidRDefault="00806616" w:rsidP="00D746F4">
            <w:pPr>
              <w:ind w:firstLine="175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у тому числі:</w:t>
            </w:r>
          </w:p>
          <w:p w14:paraId="635483E6" w14:textId="77777777" w:rsidR="00806616" w:rsidRPr="004E7030" w:rsidRDefault="00806616" w:rsidP="00D746F4">
            <w:pPr>
              <w:pStyle w:val="4"/>
              <w:spacing w:before="60"/>
              <w:rPr>
                <w:b w:val="0"/>
                <w:sz w:val="22"/>
                <w:szCs w:val="22"/>
              </w:rPr>
            </w:pPr>
            <w:r w:rsidRPr="004E7030">
              <w:rPr>
                <w:b w:val="0"/>
                <w:sz w:val="22"/>
                <w:szCs w:val="22"/>
              </w:rPr>
              <w:t>Аудиторні заняття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54F9DA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01FE3B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82F5B4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18ACD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7030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AAAB121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55719B29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BAE19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лекції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62CBC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304AD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B3E0C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C27DB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05CDC0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29DC7142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A4A97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лабораторні роботи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EC3C6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D6021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1A8EC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E38C0F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B80DE4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2CB44DEC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1C98C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практичні заняття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CDA7CC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AB0FD4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8B263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46AD2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26CA2F4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0812DCCF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E2410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семінарські заняття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5A3EAC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23238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17B49C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789D1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D2F3BB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19B2559C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DB84E" w14:textId="77777777" w:rsidR="00806616" w:rsidRPr="004E7030" w:rsidRDefault="00806616" w:rsidP="00D746F4">
            <w:pPr>
              <w:pStyle w:val="4"/>
              <w:spacing w:before="120"/>
              <w:ind w:firstLine="29"/>
              <w:rPr>
                <w:b w:val="0"/>
                <w:sz w:val="22"/>
                <w:szCs w:val="22"/>
              </w:rPr>
            </w:pPr>
            <w:r w:rsidRPr="004E7030">
              <w:rPr>
                <w:b w:val="0"/>
                <w:sz w:val="22"/>
                <w:szCs w:val="22"/>
              </w:rPr>
              <w:t>Самостійна робота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8470A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E1F110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E9B01A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15C59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7030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44AEEA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0C8748FF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B0C73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підготовка до аудиторних занять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697C4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D0B9B4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71246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7030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8E607C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918191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118EB68D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8169C" w14:textId="77777777" w:rsidR="00806616" w:rsidRPr="004E7030" w:rsidRDefault="00806616" w:rsidP="00D746F4">
            <w:pPr>
              <w:ind w:left="515" w:hanging="486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виконання та захист курсової роботи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582C7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AE001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460A6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0A1D6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E161E21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1BF37833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DFB8B" w14:textId="77777777" w:rsidR="00806616" w:rsidRPr="004E7030" w:rsidRDefault="00806616" w:rsidP="00D746F4">
            <w:pPr>
              <w:ind w:left="515" w:hanging="486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виконання та захист індивідуальних завдань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A7BF70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68118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74C91A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539D5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EC73970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761B9272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EF54" w14:textId="77777777" w:rsidR="00806616" w:rsidRPr="004E7030" w:rsidRDefault="00806616" w:rsidP="00D746F4">
            <w:pPr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підготовка та складання екзаменів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28493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8D01A5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84E1C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D7143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A2E87C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2826FB92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E265D" w14:textId="77777777" w:rsidR="00806616" w:rsidRPr="004E7030" w:rsidRDefault="00806616" w:rsidP="00D746F4">
            <w:pPr>
              <w:ind w:left="515" w:hanging="515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підготовка до інших контрольних заходів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A27681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A91FF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3BE5D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BECB81A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35FAAC5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0288E4C6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DC5C2" w14:textId="77777777" w:rsidR="00806616" w:rsidRPr="004E7030" w:rsidRDefault="00806616" w:rsidP="00D746F4">
            <w:pPr>
              <w:ind w:left="515" w:hanging="515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опрацювання розділів, які не викладаються на лекціях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E8ACBF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37EC3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6E934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14468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1E2BD6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58B9D859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8BD36ED" w14:textId="77777777" w:rsidR="00806616" w:rsidRPr="004E7030" w:rsidRDefault="00806616" w:rsidP="00D746F4">
            <w:pPr>
              <w:pStyle w:val="4"/>
              <w:spacing w:before="120"/>
              <w:rPr>
                <w:b w:val="0"/>
                <w:sz w:val="22"/>
                <w:szCs w:val="22"/>
              </w:rPr>
            </w:pPr>
            <w:r w:rsidRPr="004E7030">
              <w:rPr>
                <w:b w:val="0"/>
                <w:sz w:val="22"/>
                <w:szCs w:val="22"/>
              </w:rPr>
              <w:lastRenderedPageBreak/>
              <w:t>Форма семестрового контролю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DF10860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DB3965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F35AE8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Диф. залік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758541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  <w:p w14:paraId="7C85CD0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Диф.</w:t>
            </w:r>
          </w:p>
          <w:p w14:paraId="34176B2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залік</w:t>
            </w:r>
          </w:p>
          <w:p w14:paraId="01764FF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BBA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0177F27" w14:textId="77777777" w:rsidR="00806616" w:rsidRPr="00B847C5" w:rsidRDefault="00806616" w:rsidP="00806616">
      <w:pPr>
        <w:overflowPunct w:val="0"/>
        <w:spacing w:before="120" w:after="120"/>
        <w:jc w:val="center"/>
        <w:textAlignment w:val="baseline"/>
        <w:rPr>
          <w:sz w:val="24"/>
          <w:szCs w:val="24"/>
        </w:rPr>
      </w:pPr>
      <w:r w:rsidRPr="00B847C5">
        <w:rPr>
          <w:sz w:val="24"/>
          <w:szCs w:val="24"/>
        </w:rPr>
        <w:t>Заочна форма навчання</w:t>
      </w:r>
    </w:p>
    <w:tbl>
      <w:tblPr>
        <w:tblW w:w="8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993"/>
        <w:gridCol w:w="959"/>
        <w:gridCol w:w="856"/>
        <w:gridCol w:w="8"/>
      </w:tblGrid>
      <w:tr w:rsidR="00806616" w:rsidRPr="004E7030" w14:paraId="5C289747" w14:textId="77777777" w:rsidTr="00D746F4">
        <w:trPr>
          <w:gridAfter w:val="1"/>
          <w:wAfter w:w="8" w:type="dxa"/>
          <w:cantSplit/>
          <w:trHeight w:val="276"/>
          <w:tblHeader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DF80" w14:textId="77777777" w:rsidR="00806616" w:rsidRPr="004E7030" w:rsidRDefault="00806616" w:rsidP="00D746F4">
            <w:pPr>
              <w:jc w:val="center"/>
            </w:pPr>
            <w:r w:rsidRPr="004E7030">
              <w:t xml:space="preserve">Види </w:t>
            </w:r>
          </w:p>
          <w:p w14:paraId="450BED4B" w14:textId="77777777" w:rsidR="00806616" w:rsidRPr="004E7030" w:rsidRDefault="00806616" w:rsidP="00D746F4">
            <w:pPr>
              <w:jc w:val="center"/>
              <w:rPr>
                <w:sz w:val="28"/>
                <w:szCs w:val="28"/>
              </w:rPr>
            </w:pPr>
            <w:r w:rsidRPr="004E7030">
              <w:t>навчальної діяльності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B2E23" w14:textId="77777777" w:rsidR="00806616" w:rsidRPr="004E7030" w:rsidRDefault="00806616" w:rsidP="00D746F4">
            <w:pPr>
              <w:jc w:val="center"/>
            </w:pPr>
            <w:r w:rsidRPr="004E7030">
              <w:t>Усього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C7D" w14:textId="77777777" w:rsidR="00806616" w:rsidRPr="004E7030" w:rsidRDefault="00806616" w:rsidP="00D746F4">
            <w:pPr>
              <w:jc w:val="center"/>
            </w:pPr>
            <w:r w:rsidRPr="004E7030">
              <w:t>Семестр</w:t>
            </w:r>
          </w:p>
        </w:tc>
      </w:tr>
      <w:tr w:rsidR="00806616" w:rsidRPr="004E7030" w14:paraId="2CBD337E" w14:textId="77777777" w:rsidTr="00D746F4">
        <w:trPr>
          <w:cantSplit/>
          <w:trHeight w:val="65"/>
          <w:tblHeader/>
          <w:jc w:val="center"/>
        </w:trPr>
        <w:tc>
          <w:tcPr>
            <w:tcW w:w="524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5FE7" w14:textId="77777777" w:rsidR="00806616" w:rsidRPr="004E7030" w:rsidRDefault="00806616" w:rsidP="00D746F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E3FA" w14:textId="77777777" w:rsidR="00806616" w:rsidRPr="004E7030" w:rsidRDefault="00806616" w:rsidP="00D746F4"/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DD77" w14:textId="77777777" w:rsidR="00806616" w:rsidRPr="004E7030" w:rsidRDefault="00806616" w:rsidP="00D746F4">
            <w:pPr>
              <w:jc w:val="center"/>
            </w:pPr>
            <w:r w:rsidRPr="004E7030">
              <w:t>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1DEA96" w14:textId="77777777" w:rsidR="00806616" w:rsidRPr="004E7030" w:rsidRDefault="00806616" w:rsidP="00D746F4">
            <w:pPr>
              <w:jc w:val="center"/>
            </w:pPr>
            <w:r w:rsidRPr="004E7030">
              <w:t>8</w:t>
            </w:r>
          </w:p>
        </w:tc>
      </w:tr>
      <w:tr w:rsidR="00806616" w:rsidRPr="004E7030" w14:paraId="1511C634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D28AF" w14:textId="77777777" w:rsidR="00806616" w:rsidRPr="004E7030" w:rsidRDefault="00806616" w:rsidP="00D746F4">
            <w:pPr>
              <w:jc w:val="both"/>
              <w:rPr>
                <w:bCs/>
              </w:rPr>
            </w:pPr>
            <w:r w:rsidRPr="004E7030">
              <w:rPr>
                <w:bCs/>
                <w:sz w:val="28"/>
                <w:szCs w:val="28"/>
              </w:rPr>
              <w:t>Усього годин за навчальним планом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BEBF75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240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C3A4F9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240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379CCA83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6580581B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D7EB9" w14:textId="77777777" w:rsidR="00806616" w:rsidRPr="004E7030" w:rsidRDefault="00806616" w:rsidP="00D746F4">
            <w:pPr>
              <w:ind w:firstLine="175"/>
              <w:jc w:val="both"/>
            </w:pPr>
            <w:r w:rsidRPr="004E7030">
              <w:t>у тому числі:</w:t>
            </w:r>
          </w:p>
          <w:p w14:paraId="63236422" w14:textId="77777777" w:rsidR="00806616" w:rsidRPr="004E7030" w:rsidRDefault="00806616" w:rsidP="00D746F4">
            <w:pPr>
              <w:pStyle w:val="4"/>
              <w:spacing w:before="60"/>
              <w:rPr>
                <w:b w:val="0"/>
                <w:sz w:val="24"/>
                <w:szCs w:val="24"/>
              </w:rPr>
            </w:pPr>
            <w:r w:rsidRPr="004E7030">
              <w:rPr>
                <w:b w:val="0"/>
              </w:rPr>
              <w:t>Аудиторні заняття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C55FE4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FC8B1D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071B6D8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16D625E6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0E345" w14:textId="77777777" w:rsidR="00806616" w:rsidRPr="004E7030" w:rsidRDefault="00806616" w:rsidP="00D746F4">
            <w:pPr>
              <w:ind w:firstLine="460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лекції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DB9148" w14:textId="77777777" w:rsidR="00806616" w:rsidRPr="004E7030" w:rsidRDefault="00806616" w:rsidP="00D746F4">
            <w:pPr>
              <w:jc w:val="center"/>
              <w:rPr>
                <w:bCs/>
                <w:lang w:val="en-US"/>
              </w:rPr>
            </w:pPr>
            <w:r w:rsidRPr="004E7030">
              <w:rPr>
                <w:bCs/>
              </w:rPr>
              <w:t>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612803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948BF0D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34EC0663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8A9AB" w14:textId="77777777" w:rsidR="00806616" w:rsidRPr="004E7030" w:rsidRDefault="00806616" w:rsidP="00D746F4">
            <w:pPr>
              <w:ind w:firstLine="460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лабораторні роботи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11D90B" w14:textId="77777777" w:rsidR="00806616" w:rsidRPr="004E7030" w:rsidRDefault="00806616" w:rsidP="00D746F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C03F41" w14:textId="77777777" w:rsidR="00806616" w:rsidRPr="004E7030" w:rsidRDefault="00806616" w:rsidP="00D746F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5478CA9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7642A31B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DD962" w14:textId="77777777" w:rsidR="00806616" w:rsidRPr="004E7030" w:rsidRDefault="00806616" w:rsidP="00D746F4">
            <w:pPr>
              <w:ind w:firstLine="460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практичні заняття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496123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5206211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365F04A9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1DCA8C4F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8293C" w14:textId="77777777" w:rsidR="00806616" w:rsidRPr="004E7030" w:rsidRDefault="00806616" w:rsidP="00D746F4">
            <w:pPr>
              <w:ind w:firstLine="460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семінарські заняття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D2C854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5BF6CA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751766AA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7AB75B8F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5729C" w14:textId="77777777" w:rsidR="00806616" w:rsidRPr="004E7030" w:rsidRDefault="00806616" w:rsidP="00D746F4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r w:rsidRPr="004E7030">
              <w:rPr>
                <w:b w:val="0"/>
              </w:rPr>
              <w:t>Самостійна робота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BAC88C" w14:textId="77777777" w:rsidR="00806616" w:rsidRPr="004E7030" w:rsidRDefault="00806616" w:rsidP="00D746F4">
            <w:pPr>
              <w:jc w:val="center"/>
              <w:rPr>
                <w:bCs/>
                <w:lang w:val="en-US"/>
              </w:rPr>
            </w:pPr>
            <w:r w:rsidRPr="004E7030">
              <w:rPr>
                <w:bCs/>
              </w:rPr>
              <w:t>21</w:t>
            </w:r>
            <w:r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ACA90E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21</w:t>
            </w:r>
            <w:r>
              <w:rPr>
                <w:bCs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7CDE6436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78F446A9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0652C" w14:textId="77777777" w:rsidR="00806616" w:rsidRPr="004E7030" w:rsidRDefault="00806616" w:rsidP="00D746F4">
            <w:pPr>
              <w:ind w:firstLine="391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підготовка до аудиторних занять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763C4D" w14:textId="77777777" w:rsidR="00806616" w:rsidRPr="004E7030" w:rsidRDefault="00806616" w:rsidP="00D746F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F41E5A" w14:textId="77777777" w:rsidR="00806616" w:rsidRPr="004E7030" w:rsidRDefault="00806616" w:rsidP="00D746F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063D4E5F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18C13697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7AB6B" w14:textId="77777777" w:rsidR="00806616" w:rsidRPr="004E7030" w:rsidRDefault="00806616" w:rsidP="00D746F4">
            <w:pPr>
              <w:ind w:left="515" w:hanging="124"/>
            </w:pPr>
            <w:r w:rsidRPr="004E7030">
              <w:t>– виконання та захист курсової роботи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88029C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2D8F33D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7F83976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39A62D76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806B6" w14:textId="77777777" w:rsidR="00806616" w:rsidRPr="004E7030" w:rsidRDefault="00806616" w:rsidP="00D746F4">
            <w:pPr>
              <w:ind w:left="515" w:hanging="124"/>
            </w:pPr>
            <w:r w:rsidRPr="004E7030">
              <w:t>– виконання та захист індивідуальних завдань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065560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12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90614DF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12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95B966A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6BE26CF4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AD040" w14:textId="77777777" w:rsidR="00806616" w:rsidRPr="004E7030" w:rsidRDefault="00806616" w:rsidP="00D746F4">
            <w:pPr>
              <w:ind w:firstLine="391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опрацювання навчального матеріалу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83EC90" w14:textId="77777777" w:rsidR="00806616" w:rsidRPr="004E7030" w:rsidRDefault="00806616" w:rsidP="00D746F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138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170476" w14:textId="77777777" w:rsidR="00806616" w:rsidRPr="004E7030" w:rsidRDefault="00806616" w:rsidP="00D746F4">
            <w:pPr>
              <w:jc w:val="center"/>
              <w:rPr>
                <w:bCs/>
              </w:rPr>
            </w:pPr>
            <w:r>
              <w:rPr>
                <w:bCs/>
              </w:rPr>
              <w:t>138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6E130CE4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07970B8C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ABCA8" w14:textId="77777777" w:rsidR="00806616" w:rsidRPr="004E7030" w:rsidRDefault="00806616" w:rsidP="00D746F4">
            <w:pPr>
              <w:ind w:firstLine="391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підготовка та складання екзаменів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A46826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3C61F5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6C86B9E9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79E4F940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29C8D" w14:textId="77777777" w:rsidR="00806616" w:rsidRPr="004E7030" w:rsidRDefault="00806616" w:rsidP="00D746F4">
            <w:pPr>
              <w:ind w:left="515" w:hanging="124"/>
            </w:pPr>
            <w:r w:rsidRPr="004E7030">
              <w:t>– підготовка та складання інших контрольних заходів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5CAAE3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48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147BE3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48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BE1A0DC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3748D279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03B0A94" w14:textId="77777777" w:rsidR="00806616" w:rsidRPr="004E7030" w:rsidRDefault="00806616" w:rsidP="00D746F4">
            <w:pPr>
              <w:pStyle w:val="4"/>
              <w:spacing w:before="120"/>
              <w:rPr>
                <w:b w:val="0"/>
              </w:rPr>
            </w:pPr>
            <w:r w:rsidRPr="004E7030">
              <w:rPr>
                <w:b w:val="0"/>
              </w:rPr>
              <w:t>Форма семестрового контролю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411B332" w14:textId="77777777" w:rsidR="00806616" w:rsidRPr="004E7030" w:rsidRDefault="00806616" w:rsidP="00D746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14606D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Інд. завд.</w:t>
            </w:r>
          </w:p>
          <w:p w14:paraId="16C41895" w14:textId="77777777" w:rsidR="00806616" w:rsidRPr="004E7030" w:rsidRDefault="00806616" w:rsidP="00D746F4">
            <w:pPr>
              <w:jc w:val="center"/>
              <w:rPr>
                <w:bCs/>
                <w:sz w:val="28"/>
                <w:szCs w:val="28"/>
              </w:rPr>
            </w:pPr>
            <w:r w:rsidRPr="004E7030">
              <w:rPr>
                <w:bCs/>
              </w:rPr>
              <w:t>Диф. залік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EFBD94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</w:tbl>
    <w:p w14:paraId="6A8AEA8A" w14:textId="77777777" w:rsidR="00B847C5" w:rsidRDefault="00B847C5" w:rsidP="00B847C5"/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B847C5" w14:paraId="12BC4D71" w14:textId="77777777" w:rsidTr="00D746F4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E549F06" w14:textId="77777777" w:rsidR="00B847C5" w:rsidRDefault="00B847C5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Зміст дисципліни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8ECEA5C" w14:textId="77777777" w:rsidR="00652A24" w:rsidRPr="002D5093" w:rsidRDefault="00652A24" w:rsidP="00652A24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1. </w:t>
            </w:r>
            <w:r w:rsidRPr="002D5093">
              <w:rPr>
                <w:lang w:val="uk-UA"/>
              </w:rPr>
              <w:t>Основи забезпечення єдності вимірювання</w:t>
            </w:r>
          </w:p>
          <w:p w14:paraId="13E7B4D9" w14:textId="77777777" w:rsidR="00652A24" w:rsidRPr="002D5093" w:rsidRDefault="00652A24" w:rsidP="00652A24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2. </w:t>
            </w:r>
            <w:r w:rsidRPr="002D5093">
              <w:rPr>
                <w:lang w:val="uk-UA"/>
              </w:rPr>
              <w:t>Класифікація еталонів одиниць фізичних величин</w:t>
            </w:r>
            <w:r w:rsidRPr="002D5093">
              <w:rPr>
                <w:color w:val="auto"/>
                <w:lang w:val="uk-UA"/>
              </w:rPr>
              <w:t xml:space="preserve"> Розділ 3. </w:t>
            </w:r>
            <w:r w:rsidRPr="002D5093">
              <w:rPr>
                <w:lang w:val="uk-UA"/>
              </w:rPr>
              <w:t>Еталони одиниць системи СІ</w:t>
            </w:r>
          </w:p>
          <w:p w14:paraId="3B11B21D" w14:textId="77777777" w:rsidR="00652A24" w:rsidRPr="002D5093" w:rsidRDefault="00652A24" w:rsidP="00652A24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4. </w:t>
            </w:r>
            <w:r w:rsidRPr="002D5093">
              <w:rPr>
                <w:lang w:val="uk-UA"/>
              </w:rPr>
              <w:t>Забезпечення єдності та однозначності вимірювання</w:t>
            </w:r>
          </w:p>
          <w:p w14:paraId="30EACEBD" w14:textId="77777777" w:rsidR="00652A24" w:rsidRPr="002D5093" w:rsidRDefault="00652A24" w:rsidP="00652A24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5. </w:t>
            </w:r>
            <w:r w:rsidRPr="002D5093">
              <w:rPr>
                <w:lang w:val="uk-UA"/>
              </w:rPr>
              <w:t>Теоретичні основи метрологічного забезпечення</w:t>
            </w:r>
          </w:p>
          <w:p w14:paraId="3B09F816" w14:textId="77777777" w:rsidR="00652A24" w:rsidRPr="002D5093" w:rsidRDefault="00652A24" w:rsidP="00652A24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6. </w:t>
            </w:r>
            <w:r w:rsidRPr="002D5093">
              <w:rPr>
                <w:lang w:val="uk-UA"/>
              </w:rPr>
              <w:t>Практичні заходи з метрологічної перевірки ЗВТ</w:t>
            </w:r>
          </w:p>
          <w:p w14:paraId="087F2C27" w14:textId="77777777" w:rsidR="00652A24" w:rsidRPr="002D5093" w:rsidRDefault="00652A24" w:rsidP="00652A24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7. </w:t>
            </w:r>
            <w:r w:rsidRPr="002D5093">
              <w:rPr>
                <w:lang w:val="uk-UA"/>
              </w:rPr>
              <w:t>Здійснення робіт із забезпечення єдності вимірювань</w:t>
            </w:r>
          </w:p>
          <w:p w14:paraId="7F4EF28F" w14:textId="11CD8493" w:rsidR="00B847C5" w:rsidRPr="00BC6093" w:rsidRDefault="00652A24" w:rsidP="00652A24">
            <w:pPr>
              <w:pStyle w:val="Default"/>
              <w:rPr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8. </w:t>
            </w:r>
            <w:r w:rsidRPr="002D5093">
              <w:rPr>
                <w:lang w:val="uk-UA"/>
              </w:rPr>
              <w:t>Забезпечення єдності вимірювань для температурних, оптико-фізичних та акустичних вимірювань</w:t>
            </w:r>
          </w:p>
        </w:tc>
      </w:tr>
      <w:tr w:rsidR="00B847C5" w14:paraId="2782FDF8" w14:textId="77777777" w:rsidTr="00D746F4">
        <w:tc>
          <w:tcPr>
            <w:tcW w:w="3397" w:type="dxa"/>
            <w:tcBorders>
              <w:top w:val="single" w:sz="4" w:space="0" w:color="auto"/>
            </w:tcBorders>
          </w:tcPr>
          <w:p w14:paraId="5CF39455" w14:textId="77777777" w:rsidR="00B847C5" w:rsidRDefault="00B847C5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AAF3681" w14:textId="1C98C260" w:rsidR="00B847C5" w:rsidRPr="009D16F9" w:rsidRDefault="00B847C5" w:rsidP="00B847C5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</w:rPr>
              <w:t xml:space="preserve"> </w:t>
            </w:r>
            <w:r w:rsidRPr="009D16F9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6ECABCF7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– оцінки РО1, РО2, РО3 та РО4 з розділів</w:t>
            </w:r>
            <w:r w:rsidRPr="009D16F9">
              <w:rPr>
                <w:iCs/>
                <w:color w:val="auto"/>
                <w:lang w:val="uk-UA"/>
              </w:rPr>
              <w:t xml:space="preserve"> 1, 2, 3 та 4 відповідно </w:t>
            </w:r>
            <w:r w:rsidRPr="009D16F9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9D16F9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14:paraId="72C04238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– оцінки РО5, РО6, РО7 та РО8 з розді</w:t>
            </w:r>
            <w:r w:rsidRPr="009D16F9">
              <w:rPr>
                <w:iCs/>
                <w:color w:val="auto"/>
                <w:lang w:val="uk-UA"/>
              </w:rPr>
              <w:t xml:space="preserve">лів 5, 6, 7 та 8 відповідно </w:t>
            </w:r>
            <w:r w:rsidRPr="009D16F9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9D16F9">
              <w:rPr>
                <w:iCs/>
                <w:color w:val="auto"/>
                <w:lang w:val="uk-UA"/>
              </w:rPr>
              <w:t xml:space="preserve"> у тестовій формі (РК2).</w:t>
            </w:r>
          </w:p>
          <w:p w14:paraId="54B94D29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lastRenderedPageBreak/>
              <w:t xml:space="preserve">Формою семестрового контролю з дисципліни є диференційований залік. </w:t>
            </w:r>
          </w:p>
          <w:p w14:paraId="66D8D57D" w14:textId="3C7CAF68" w:rsidR="00B847C5" w:rsidRPr="00080372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контрольних робіт РК1 та РК2 за прийнятою шкалою як середнє арифметичне оцінок РО1, РО2, РО3, РО4, РО5, РО6, РО7, РО8 з округленням до найближчого цілого числа. </w:t>
            </w:r>
          </w:p>
        </w:tc>
      </w:tr>
      <w:tr w:rsidR="00B847C5" w14:paraId="644A6467" w14:textId="77777777" w:rsidTr="00D746F4">
        <w:tc>
          <w:tcPr>
            <w:tcW w:w="3397" w:type="dxa"/>
            <w:tcBorders>
              <w:bottom w:val="single" w:sz="4" w:space="0" w:color="auto"/>
            </w:tcBorders>
          </w:tcPr>
          <w:p w14:paraId="6755D999" w14:textId="77777777" w:rsidR="00B847C5" w:rsidRDefault="00B847C5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Політика викладання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16D192F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4, 5, 6, 7 та 8 є відпрацювання та надання звіту з усіх практичних, лабораторних робіт та індивідуального завдання (останнє - для студентів заочної форми навчання) відповідного розділу.  </w:t>
            </w:r>
          </w:p>
          <w:p w14:paraId="016C223B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C69D22E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/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9D16F9">
              <w:rPr>
                <w:i/>
                <w:iCs/>
                <w:color w:val="auto"/>
                <w:lang w:val="uk-UA"/>
              </w:rPr>
              <w:t>.</w:t>
            </w:r>
          </w:p>
          <w:p w14:paraId="6091488E" w14:textId="77777777" w:rsidR="00B847C5" w:rsidRDefault="00B847C5" w:rsidP="00B847C5">
            <w:pPr>
              <w:pStyle w:val="Default"/>
              <w:autoSpaceDE/>
              <w:adjustRightInd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оцінок з розділів з округленням до цілого числа.</w:t>
            </w:r>
          </w:p>
          <w:p w14:paraId="2609BFF5" w14:textId="6124EC7C" w:rsidR="00B847C5" w:rsidRDefault="00B847C5" w:rsidP="00B847C5">
            <w:pPr>
              <w:pStyle w:val="Default"/>
              <w:autoSpaceDE/>
              <w:adjustRightInd/>
              <w:ind w:firstLine="284"/>
              <w:jc w:val="both"/>
              <w:rPr>
                <w:iCs/>
                <w:lang w:val="uk-UA"/>
              </w:rPr>
            </w:pPr>
            <w:r w:rsidRPr="008B7D72">
              <w:rPr>
                <w:iCs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5F15D99E" w14:textId="77777777" w:rsidR="00B847C5" w:rsidRPr="00080372" w:rsidRDefault="00B847C5" w:rsidP="00B847C5">
            <w:pPr>
              <w:pStyle w:val="Default"/>
              <w:autoSpaceDE/>
              <w:adjustRightInd/>
              <w:ind w:firstLine="284"/>
              <w:jc w:val="both"/>
              <w:rPr>
                <w:iCs/>
                <w:lang w:val="uk-UA"/>
              </w:rPr>
            </w:pPr>
            <w:r w:rsidRPr="00080372">
              <w:rPr>
                <w:iCs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 та фабрикації результатів досліджень, що здійснюються під час виконання лабораторних робіт, тягнуть відповідальність у вигляді повторного виконання завдань та повторного проходження процедури оцінювання.</w:t>
            </w:r>
          </w:p>
        </w:tc>
      </w:tr>
      <w:tr w:rsidR="00B847C5" w14:paraId="2D75D6E5" w14:textId="77777777" w:rsidTr="00D746F4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4FAB3BD" w14:textId="77777777" w:rsidR="00B847C5" w:rsidRDefault="00B847C5" w:rsidP="00D746F4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0CE17D9" w14:textId="77777777" w:rsidR="00B847C5" w:rsidRPr="00C63F83" w:rsidRDefault="00B847C5" w:rsidP="00D746F4">
            <w:pPr>
              <w:spacing w:line="228" w:lineRule="auto"/>
              <w:rPr>
                <w:b/>
                <w:bCs/>
                <w:color w:val="244061"/>
                <w:sz w:val="24"/>
                <w:szCs w:val="24"/>
              </w:rPr>
            </w:pPr>
            <w:r w:rsidRPr="00DC548F">
              <w:rPr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</w:t>
            </w:r>
            <w:r>
              <w:rPr>
                <w:sz w:val="24"/>
                <w:szCs w:val="24"/>
              </w:rPr>
              <w:t>, лабораторних</w:t>
            </w:r>
            <w:r w:rsidRPr="00DC548F">
              <w:rPr>
                <w:sz w:val="24"/>
                <w:szCs w:val="24"/>
              </w:rPr>
              <w:t xml:space="preserve"> робіт та виконання курсової роботи, прикладного програмного забезпечення для підтримки </w:t>
            </w:r>
            <w:r w:rsidRPr="00DC54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DC548F">
              <w:rPr>
                <w:iCs/>
                <w:sz w:val="24"/>
                <w:szCs w:val="24"/>
                <w:lang w:val="en-US"/>
              </w:rPr>
              <w:t>ZOOM</w:t>
            </w:r>
            <w:r w:rsidRPr="00DC548F">
              <w:rPr>
                <w:iCs/>
                <w:sz w:val="24"/>
                <w:szCs w:val="24"/>
              </w:rPr>
              <w:t xml:space="preserve">, </w:t>
            </w:r>
            <w:r w:rsidRPr="00DC548F">
              <w:rPr>
                <w:iCs/>
                <w:sz w:val="24"/>
                <w:szCs w:val="24"/>
                <w:lang w:val="en-US"/>
              </w:rPr>
              <w:t>Google</w:t>
            </w:r>
            <w:r w:rsidRPr="00DC548F">
              <w:rPr>
                <w:iCs/>
                <w:sz w:val="24"/>
                <w:szCs w:val="24"/>
              </w:rPr>
              <w:t xml:space="preserve"> </w:t>
            </w:r>
            <w:r w:rsidRPr="00DC548F">
              <w:rPr>
                <w:iCs/>
                <w:sz w:val="24"/>
                <w:szCs w:val="24"/>
                <w:lang w:val="en-US"/>
              </w:rPr>
              <w:t>Class</w:t>
            </w:r>
            <w:r w:rsidRPr="00DC54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B847C5" w14:paraId="14304CAA" w14:textId="77777777" w:rsidTr="00D746F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397" w:type="dxa"/>
          </w:tcPr>
          <w:p w14:paraId="1CC1DACC" w14:textId="77777777" w:rsidR="00B847C5" w:rsidRDefault="00B847C5" w:rsidP="00D746F4">
            <w:pPr>
              <w:rPr>
                <w:b/>
                <w:color w:val="244061"/>
                <w:sz w:val="24"/>
                <w:szCs w:val="24"/>
              </w:rPr>
            </w:pPr>
            <w:r>
              <w:br w:type="page"/>
            </w: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7A7C8B27" w14:textId="77777777" w:rsidR="00B847C5" w:rsidRPr="009D16F9" w:rsidRDefault="00B847C5" w:rsidP="00B847C5">
            <w:pPr>
              <w:tabs>
                <w:tab w:val="left" w:pos="0"/>
              </w:tabs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9D16F9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16F34218" w14:textId="77777777" w:rsidR="00B847C5" w:rsidRPr="009D16F9" w:rsidRDefault="00B847C5" w:rsidP="00B847C5">
            <w:pPr>
              <w:pStyle w:val="1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6F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"</w:t>
            </w:r>
            <w:r w:rsidRPr="009D16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метрологію та метрологічну діяльність</w:t>
            </w:r>
            <w:r w:rsidRPr="009D16F9">
              <w:rPr>
                <w:rFonts w:ascii="Times New Roman" w:hAnsi="Times New Roman"/>
                <w:sz w:val="24"/>
                <w:szCs w:val="24"/>
                <w:lang w:val="uk-UA"/>
              </w:rPr>
              <w:t>" (актуалізовані редакції).</w:t>
            </w:r>
          </w:p>
          <w:p w14:paraId="0D3B4DFE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9D16F9">
              <w:rPr>
                <w:color w:val="auto"/>
                <w:lang w:val="uk-UA"/>
              </w:rPr>
              <w:t>Технічне регулювання та контроль на підприємстві / А.М. Должанський та ін. Дніпро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Видавець «Свідлер А.Л.», 2021. Том 1. 523 с.</w:t>
            </w:r>
          </w:p>
          <w:p w14:paraId="372BB063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 xml:space="preserve">Методи та засоби інформаційно-вимірювальної техніки, випробувань і контролю: Підручник (з грифом Вченої ради НМетАУ) / Є.О. Петльований </w:t>
            </w:r>
            <w:r w:rsidRPr="009D16F9">
              <w:rPr>
                <w:color w:val="auto"/>
                <w:lang w:val="uk-UA"/>
              </w:rPr>
              <w:lastRenderedPageBreak/>
              <w:t>та ін. Дніпро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Видавництво «Свідлер А.Л.», 2018. 191 с.</w:t>
            </w:r>
          </w:p>
          <w:p w14:paraId="221A98C3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Метрологія, забезпечення єдності вимірювань та еталони одиниць фізичних величин: Підручник (з грифом Вченої ради НМетАУ) / К.О. Чорноіваненко та ін. Дніпро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Видавництво «Свідлер А.Л.», 2018. 164 с.</w:t>
            </w:r>
          </w:p>
          <w:p w14:paraId="71633FA9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Метрологія та вимірювальна техніка / Є.С. Поліщук та ін. Львів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Бескет Біт, 2003. 544 с.</w:t>
            </w:r>
          </w:p>
          <w:p w14:paraId="078E39E6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Метрологія та вимірювальна техніка / В.В. Кухарчук та ін. Вінниця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УНІВЕРСУМ-Вінниця, 2004. 252 с.</w:t>
            </w:r>
          </w:p>
          <w:p w14:paraId="764FD7A3" w14:textId="77777777" w:rsidR="00B847C5" w:rsidRPr="009D16F9" w:rsidRDefault="00B847C5" w:rsidP="00B847C5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9D16F9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7010730F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Дорожовець М. Опрацювання результатів вимірювань: Навч. посібник. Львів</w:t>
            </w:r>
            <w:r w:rsidRPr="009D16F9">
              <w:rPr>
                <w:color w:val="auto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Видавництво Національного університету "Львівська політехніка", 2007. 624 с.</w:t>
            </w:r>
          </w:p>
          <w:p w14:paraId="421B078D" w14:textId="29ACAE24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Цюцюра В.Д. Метрологія та основи вимірювань: Навч. посібник. К</w:t>
            </w:r>
            <w:r w:rsidR="007B2B23">
              <w:rPr>
                <w:color w:val="auto"/>
                <w:lang w:val="uk-UA"/>
              </w:rPr>
              <w:t xml:space="preserve">иїв </w:t>
            </w:r>
            <w:bookmarkStart w:id="0" w:name="_GoBack"/>
            <w:bookmarkEnd w:id="0"/>
            <w:r w:rsidRPr="009D16F9">
              <w:rPr>
                <w:color w:val="auto"/>
                <w:lang w:val="uk-UA"/>
              </w:rPr>
              <w:t>: Знання-Прес, 2003. 287 с.</w:t>
            </w:r>
          </w:p>
          <w:p w14:paraId="21FD84DD" w14:textId="77777777" w:rsidR="00B847C5" w:rsidRPr="009D16F9" w:rsidRDefault="00B847C5" w:rsidP="00B847C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D16F9">
              <w:rPr>
                <w:sz w:val="24"/>
                <w:szCs w:val="24"/>
              </w:rPr>
              <w:t>Боженко Л.І. Метрологія, стандартизація, сертифікація та акредитація: Навч. посібник. Львів: Афіша, 2004. 324 с.</w:t>
            </w:r>
          </w:p>
          <w:p w14:paraId="15DEE78E" w14:textId="77777777" w:rsidR="00B847C5" w:rsidRPr="009D16F9" w:rsidRDefault="00B847C5" w:rsidP="00B847C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D16F9">
              <w:rPr>
                <w:sz w:val="24"/>
                <w:szCs w:val="24"/>
              </w:rPr>
              <w:t>Тарасова В.В. Метрологія, стандартизація і сертифікація: Підручник. К.: Центр навчальної літератури, 2006. 264 с.</w:t>
            </w:r>
          </w:p>
          <w:p w14:paraId="72A73885" w14:textId="23660130" w:rsidR="00B847C5" w:rsidRPr="00080372" w:rsidRDefault="00B847C5" w:rsidP="00B847C5">
            <w:pPr>
              <w:pStyle w:val="a5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16F9">
              <w:rPr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7D432529" w14:textId="77777777" w:rsidR="00B847C5" w:rsidRDefault="00B847C5" w:rsidP="00B847C5"/>
    <w:p w14:paraId="7FBF4199" w14:textId="77777777" w:rsidR="00806616" w:rsidRPr="004E7030" w:rsidRDefault="00806616" w:rsidP="00806616">
      <w:pPr>
        <w:spacing w:before="240" w:after="240" w:line="340" w:lineRule="exact"/>
        <w:ind w:right="-788"/>
        <w:jc w:val="center"/>
        <w:rPr>
          <w:b/>
          <w:sz w:val="28"/>
          <w:szCs w:val="28"/>
        </w:rPr>
      </w:pPr>
    </w:p>
    <w:p w14:paraId="4CB7AC39" w14:textId="77777777" w:rsidR="00806616" w:rsidRDefault="00806616" w:rsidP="00C43818">
      <w:pPr>
        <w:overflowPunct w:val="0"/>
        <w:textAlignment w:val="baseline"/>
        <w:rPr>
          <w:iCs/>
        </w:rPr>
      </w:pPr>
    </w:p>
    <w:sectPr w:rsidR="0080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0804E" w14:textId="77777777" w:rsidR="00F37AA2" w:rsidRDefault="00F37AA2" w:rsidP="006F66BA">
      <w:r>
        <w:separator/>
      </w:r>
    </w:p>
  </w:endnote>
  <w:endnote w:type="continuationSeparator" w:id="0">
    <w:p w14:paraId="5E33D6CE" w14:textId="77777777" w:rsidR="00F37AA2" w:rsidRDefault="00F37AA2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55E40" w14:textId="77777777" w:rsidR="00F37AA2" w:rsidRDefault="00F37AA2" w:rsidP="006F66BA">
      <w:r>
        <w:separator/>
      </w:r>
    </w:p>
  </w:footnote>
  <w:footnote w:type="continuationSeparator" w:id="0">
    <w:p w14:paraId="7D54BA8E" w14:textId="77777777" w:rsidR="00F37AA2" w:rsidRDefault="00F37AA2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03887"/>
    <w:multiLevelType w:val="hybridMultilevel"/>
    <w:tmpl w:val="D6ECC464"/>
    <w:lvl w:ilvl="0" w:tplc="903CD4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0AE3"/>
    <w:rsid w:val="00022E52"/>
    <w:rsid w:val="00026871"/>
    <w:rsid w:val="00034F3D"/>
    <w:rsid w:val="00075C69"/>
    <w:rsid w:val="00076CFE"/>
    <w:rsid w:val="00077399"/>
    <w:rsid w:val="00084D0E"/>
    <w:rsid w:val="00084E4A"/>
    <w:rsid w:val="00096F07"/>
    <w:rsid w:val="000A19D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476D"/>
    <w:rsid w:val="001659F2"/>
    <w:rsid w:val="00167B2F"/>
    <w:rsid w:val="0017199A"/>
    <w:rsid w:val="00184500"/>
    <w:rsid w:val="001A217C"/>
    <w:rsid w:val="001A234E"/>
    <w:rsid w:val="001A2C31"/>
    <w:rsid w:val="001A564F"/>
    <w:rsid w:val="001B0AB3"/>
    <w:rsid w:val="001D29B8"/>
    <w:rsid w:val="001D467D"/>
    <w:rsid w:val="001E2FD7"/>
    <w:rsid w:val="001F3CA9"/>
    <w:rsid w:val="001F4547"/>
    <w:rsid w:val="00210B92"/>
    <w:rsid w:val="002140CC"/>
    <w:rsid w:val="00236491"/>
    <w:rsid w:val="00243428"/>
    <w:rsid w:val="00250349"/>
    <w:rsid w:val="0025158D"/>
    <w:rsid w:val="00266DC0"/>
    <w:rsid w:val="00273766"/>
    <w:rsid w:val="00280EFB"/>
    <w:rsid w:val="00291830"/>
    <w:rsid w:val="0029331A"/>
    <w:rsid w:val="0029421B"/>
    <w:rsid w:val="0029735C"/>
    <w:rsid w:val="002A3812"/>
    <w:rsid w:val="002B59F4"/>
    <w:rsid w:val="002B66AB"/>
    <w:rsid w:val="002B76D4"/>
    <w:rsid w:val="002C5960"/>
    <w:rsid w:val="002D0BE9"/>
    <w:rsid w:val="002D2FEB"/>
    <w:rsid w:val="002D5093"/>
    <w:rsid w:val="002E1BE1"/>
    <w:rsid w:val="002E527B"/>
    <w:rsid w:val="002E73B9"/>
    <w:rsid w:val="002E77DF"/>
    <w:rsid w:val="002F2353"/>
    <w:rsid w:val="002F493F"/>
    <w:rsid w:val="002F7D97"/>
    <w:rsid w:val="00307762"/>
    <w:rsid w:val="00312861"/>
    <w:rsid w:val="0032168D"/>
    <w:rsid w:val="0032557D"/>
    <w:rsid w:val="003273A5"/>
    <w:rsid w:val="0034459E"/>
    <w:rsid w:val="00346466"/>
    <w:rsid w:val="003520ED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357B"/>
    <w:rsid w:val="00401FF8"/>
    <w:rsid w:val="00420C41"/>
    <w:rsid w:val="004268FA"/>
    <w:rsid w:val="00434F98"/>
    <w:rsid w:val="00465428"/>
    <w:rsid w:val="00492E11"/>
    <w:rsid w:val="004A0F2A"/>
    <w:rsid w:val="004A25BE"/>
    <w:rsid w:val="004A47FE"/>
    <w:rsid w:val="004A69CA"/>
    <w:rsid w:val="004E0EBA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5E79D5"/>
    <w:rsid w:val="0060188B"/>
    <w:rsid w:val="00604554"/>
    <w:rsid w:val="00606653"/>
    <w:rsid w:val="006259AA"/>
    <w:rsid w:val="00652A24"/>
    <w:rsid w:val="00653245"/>
    <w:rsid w:val="0067217C"/>
    <w:rsid w:val="006778CD"/>
    <w:rsid w:val="00680435"/>
    <w:rsid w:val="00682A79"/>
    <w:rsid w:val="006955DC"/>
    <w:rsid w:val="00697C3D"/>
    <w:rsid w:val="006A749E"/>
    <w:rsid w:val="006B6697"/>
    <w:rsid w:val="006D2AC1"/>
    <w:rsid w:val="006E7845"/>
    <w:rsid w:val="006F2DD7"/>
    <w:rsid w:val="006F66BA"/>
    <w:rsid w:val="007002BA"/>
    <w:rsid w:val="00701DBB"/>
    <w:rsid w:val="00703EAA"/>
    <w:rsid w:val="0070725C"/>
    <w:rsid w:val="00712609"/>
    <w:rsid w:val="00715E42"/>
    <w:rsid w:val="00731BEC"/>
    <w:rsid w:val="00752657"/>
    <w:rsid w:val="0078635E"/>
    <w:rsid w:val="007868AC"/>
    <w:rsid w:val="00790A72"/>
    <w:rsid w:val="007929FA"/>
    <w:rsid w:val="007B2B23"/>
    <w:rsid w:val="007B33AC"/>
    <w:rsid w:val="007C3121"/>
    <w:rsid w:val="007D06F8"/>
    <w:rsid w:val="007D1318"/>
    <w:rsid w:val="007D1439"/>
    <w:rsid w:val="007E3CD6"/>
    <w:rsid w:val="007E555B"/>
    <w:rsid w:val="007F3068"/>
    <w:rsid w:val="00801F05"/>
    <w:rsid w:val="00806616"/>
    <w:rsid w:val="008154A8"/>
    <w:rsid w:val="008232AE"/>
    <w:rsid w:val="00840C9D"/>
    <w:rsid w:val="00853323"/>
    <w:rsid w:val="0087516A"/>
    <w:rsid w:val="0088069D"/>
    <w:rsid w:val="00885FC2"/>
    <w:rsid w:val="008A4753"/>
    <w:rsid w:val="008A4C95"/>
    <w:rsid w:val="008B0721"/>
    <w:rsid w:val="008B1414"/>
    <w:rsid w:val="008C36CD"/>
    <w:rsid w:val="008D5E4C"/>
    <w:rsid w:val="0091212F"/>
    <w:rsid w:val="00924F4D"/>
    <w:rsid w:val="00940B39"/>
    <w:rsid w:val="00955DD7"/>
    <w:rsid w:val="009622CF"/>
    <w:rsid w:val="0096315A"/>
    <w:rsid w:val="0097586E"/>
    <w:rsid w:val="00975F67"/>
    <w:rsid w:val="00993986"/>
    <w:rsid w:val="009C1383"/>
    <w:rsid w:val="009C1A93"/>
    <w:rsid w:val="009C3C5B"/>
    <w:rsid w:val="009C5988"/>
    <w:rsid w:val="009D16F9"/>
    <w:rsid w:val="009D4B86"/>
    <w:rsid w:val="009E68D3"/>
    <w:rsid w:val="009F6BA8"/>
    <w:rsid w:val="00A078C0"/>
    <w:rsid w:val="00A13DDD"/>
    <w:rsid w:val="00A1403D"/>
    <w:rsid w:val="00A401A4"/>
    <w:rsid w:val="00A775B3"/>
    <w:rsid w:val="00A852F2"/>
    <w:rsid w:val="00A944C4"/>
    <w:rsid w:val="00A96837"/>
    <w:rsid w:val="00AA4771"/>
    <w:rsid w:val="00AB25A1"/>
    <w:rsid w:val="00AC0192"/>
    <w:rsid w:val="00AD1FA1"/>
    <w:rsid w:val="00AE0EA9"/>
    <w:rsid w:val="00AE5DC3"/>
    <w:rsid w:val="00B0056D"/>
    <w:rsid w:val="00B00FB6"/>
    <w:rsid w:val="00B10CB6"/>
    <w:rsid w:val="00B10D95"/>
    <w:rsid w:val="00B10EC9"/>
    <w:rsid w:val="00B16369"/>
    <w:rsid w:val="00B172E9"/>
    <w:rsid w:val="00B27DE0"/>
    <w:rsid w:val="00B33233"/>
    <w:rsid w:val="00B42757"/>
    <w:rsid w:val="00B4613F"/>
    <w:rsid w:val="00B471AA"/>
    <w:rsid w:val="00B847C5"/>
    <w:rsid w:val="00B8521A"/>
    <w:rsid w:val="00BA620E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55C02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62B5"/>
    <w:rsid w:val="00D61001"/>
    <w:rsid w:val="00D64026"/>
    <w:rsid w:val="00D729E4"/>
    <w:rsid w:val="00DA3296"/>
    <w:rsid w:val="00DB32BC"/>
    <w:rsid w:val="00DB4A35"/>
    <w:rsid w:val="00DC0515"/>
    <w:rsid w:val="00DC548F"/>
    <w:rsid w:val="00DD5272"/>
    <w:rsid w:val="00DD7AF4"/>
    <w:rsid w:val="00E01FF3"/>
    <w:rsid w:val="00E055C6"/>
    <w:rsid w:val="00E16E81"/>
    <w:rsid w:val="00E17DE5"/>
    <w:rsid w:val="00E23E48"/>
    <w:rsid w:val="00E2791D"/>
    <w:rsid w:val="00E536BB"/>
    <w:rsid w:val="00E61CEC"/>
    <w:rsid w:val="00E63D5A"/>
    <w:rsid w:val="00E64353"/>
    <w:rsid w:val="00E721F1"/>
    <w:rsid w:val="00E86A9A"/>
    <w:rsid w:val="00E92E65"/>
    <w:rsid w:val="00E93257"/>
    <w:rsid w:val="00E9509F"/>
    <w:rsid w:val="00EA05EF"/>
    <w:rsid w:val="00ED0F66"/>
    <w:rsid w:val="00ED47F6"/>
    <w:rsid w:val="00EF1552"/>
    <w:rsid w:val="00EF1773"/>
    <w:rsid w:val="00F0224B"/>
    <w:rsid w:val="00F24D3F"/>
    <w:rsid w:val="00F328D6"/>
    <w:rsid w:val="00F37AA2"/>
    <w:rsid w:val="00F41C2B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389DE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806616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c">
    <w:name w:val="Основной текст с отступом Знак"/>
    <w:basedOn w:val="a0"/>
    <w:link w:val="ab"/>
    <w:rsid w:val="0080661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8812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240</cp:revision>
  <dcterms:created xsi:type="dcterms:W3CDTF">2022-12-06T22:03:00Z</dcterms:created>
  <dcterms:modified xsi:type="dcterms:W3CDTF">2026-02-10T08:31:00Z</dcterms:modified>
</cp:coreProperties>
</file>