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263"/>
        <w:gridCol w:w="7082"/>
      </w:tblGrid>
      <w:tr w:rsidR="002C5960" w:rsidRPr="002C5960" w14:paraId="7725C854" w14:textId="77777777" w:rsidTr="005267D8">
        <w:tc>
          <w:tcPr>
            <w:tcW w:w="9345" w:type="dxa"/>
            <w:gridSpan w:val="2"/>
          </w:tcPr>
          <w:p w14:paraId="3F388A7E" w14:textId="77777777" w:rsidR="005066DF" w:rsidRPr="002C5960" w:rsidRDefault="005066DF" w:rsidP="00C43818">
            <w:pPr>
              <w:jc w:val="center"/>
              <w:rPr>
                <w:sz w:val="24"/>
                <w:szCs w:val="24"/>
              </w:rPr>
            </w:pPr>
            <w:r w:rsidRPr="002C5960">
              <w:rPr>
                <w:b/>
                <w:bCs/>
                <w:sz w:val="24"/>
                <w:szCs w:val="24"/>
              </w:rPr>
              <w:t>УКРАЇНСЬКИЙ ДЕРЖАВНИЙ УНІВЕРСИТЕТ НАУКИ І ТЕХНОЛОГІЙ</w:t>
            </w:r>
          </w:p>
        </w:tc>
      </w:tr>
      <w:tr w:rsidR="002C5960" w:rsidRPr="002C5960" w14:paraId="56AF0FA7" w14:textId="77777777" w:rsidTr="005066DF">
        <w:tc>
          <w:tcPr>
            <w:tcW w:w="2263" w:type="dxa"/>
          </w:tcPr>
          <w:p w14:paraId="7F83466F" w14:textId="483BCD61" w:rsidR="005066DF" w:rsidRPr="002C5960" w:rsidRDefault="00B172E9" w:rsidP="00C43818">
            <w:pPr>
              <w:jc w:val="center"/>
              <w:rPr>
                <w:sz w:val="24"/>
                <w:szCs w:val="24"/>
              </w:rPr>
            </w:pPr>
            <w:r>
              <w:rPr>
                <w:noProof/>
                <w:lang w:val="en-US" w:eastAsia="en-US"/>
              </w:rPr>
              <w:drawing>
                <wp:inline distT="0" distB="0" distL="0" distR="0" wp14:anchorId="3942CC91" wp14:editId="52AEB7B5">
                  <wp:extent cx="1152525" cy="1152525"/>
                  <wp:effectExtent l="0" t="0" r="9525" b="9525"/>
                  <wp:docPr id="1580997494" name="Рисунок 1" descr="Головна - УДУ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ловна - УДУН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7082" w:type="dxa"/>
          </w:tcPr>
          <w:p w14:paraId="6A31FD58" w14:textId="77777777" w:rsidR="005066DF" w:rsidRPr="002C5960" w:rsidRDefault="005066DF" w:rsidP="005066DF">
            <w:pPr>
              <w:jc w:val="center"/>
              <w:rPr>
                <w:b/>
                <w:bCs/>
                <w:sz w:val="24"/>
                <w:szCs w:val="24"/>
              </w:rPr>
            </w:pPr>
          </w:p>
          <w:p w14:paraId="1AD0FDE6" w14:textId="77777777" w:rsidR="005066DF" w:rsidRPr="002C5960" w:rsidRDefault="005066DF" w:rsidP="005066DF">
            <w:pPr>
              <w:jc w:val="center"/>
              <w:rPr>
                <w:b/>
                <w:bCs/>
                <w:sz w:val="24"/>
                <w:szCs w:val="24"/>
              </w:rPr>
            </w:pPr>
            <w:r w:rsidRPr="002C5960">
              <w:rPr>
                <w:b/>
                <w:bCs/>
                <w:sz w:val="24"/>
                <w:szCs w:val="24"/>
              </w:rPr>
              <w:t xml:space="preserve">СИЛАБУС </w:t>
            </w:r>
          </w:p>
          <w:p w14:paraId="5EA92DBB" w14:textId="1E55B4A6" w:rsidR="005066DF" w:rsidRPr="00B172E9" w:rsidRDefault="00B172E9" w:rsidP="005066DF">
            <w:pPr>
              <w:spacing w:after="120"/>
              <w:jc w:val="center"/>
              <w:rPr>
                <w:b/>
                <w:caps/>
                <w:sz w:val="40"/>
                <w:szCs w:val="40"/>
              </w:rPr>
            </w:pPr>
            <w:r w:rsidRPr="00B172E9">
              <w:rPr>
                <w:b/>
                <w:caps/>
                <w:sz w:val="40"/>
                <w:szCs w:val="40"/>
              </w:rPr>
              <w:t>Методи та засоби вимірювань та контроль</w:t>
            </w:r>
          </w:p>
          <w:p w14:paraId="1B4C3C39" w14:textId="77777777" w:rsidR="005066DF" w:rsidRPr="002C5960" w:rsidRDefault="005066DF" w:rsidP="00C43818">
            <w:pPr>
              <w:jc w:val="center"/>
              <w:rPr>
                <w:sz w:val="24"/>
                <w:szCs w:val="24"/>
              </w:rPr>
            </w:pPr>
          </w:p>
        </w:tc>
      </w:tr>
    </w:tbl>
    <w:p w14:paraId="14F8554F" w14:textId="77777777" w:rsidR="005066DF" w:rsidRPr="002C5960" w:rsidRDefault="005066DF" w:rsidP="00C43818">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2C5960" w:rsidRPr="002C5960" w14:paraId="7B91F201" w14:textId="77777777">
        <w:trPr>
          <w:jc w:val="center"/>
        </w:trPr>
        <w:tc>
          <w:tcPr>
            <w:tcW w:w="2518" w:type="dxa"/>
            <w:shd w:val="clear" w:color="auto" w:fill="auto"/>
          </w:tcPr>
          <w:p w14:paraId="15ED70CC" w14:textId="77777777" w:rsidR="005066DF" w:rsidRPr="002C5960" w:rsidRDefault="005066DF" w:rsidP="00C43818">
            <w:pPr>
              <w:spacing w:before="120" w:after="120"/>
              <w:rPr>
                <w:b/>
                <w:sz w:val="22"/>
                <w:szCs w:val="22"/>
              </w:rPr>
            </w:pPr>
            <w:r w:rsidRPr="002C5960">
              <w:rPr>
                <w:b/>
                <w:sz w:val="22"/>
                <w:szCs w:val="22"/>
              </w:rPr>
              <w:t>Статус дисципліни</w:t>
            </w:r>
          </w:p>
        </w:tc>
        <w:tc>
          <w:tcPr>
            <w:tcW w:w="6804" w:type="dxa"/>
            <w:shd w:val="clear" w:color="auto" w:fill="auto"/>
          </w:tcPr>
          <w:p w14:paraId="510D0552" w14:textId="77777777" w:rsidR="005066DF" w:rsidRPr="002C5960" w:rsidRDefault="00A1403D" w:rsidP="00D64026">
            <w:pPr>
              <w:spacing w:before="120" w:after="120"/>
              <w:rPr>
                <w:rFonts w:eastAsia="Calibri"/>
                <w:bCs/>
                <w:sz w:val="24"/>
                <w:szCs w:val="24"/>
                <w:lang w:eastAsia="en-US"/>
              </w:rPr>
            </w:pPr>
            <w:r w:rsidRPr="002C5960">
              <w:rPr>
                <w:sz w:val="24"/>
                <w:szCs w:val="24"/>
              </w:rPr>
              <w:t>Обов’язкова</w:t>
            </w:r>
            <w:r w:rsidR="005066DF" w:rsidRPr="002C5960">
              <w:rPr>
                <w:sz w:val="24"/>
                <w:szCs w:val="24"/>
              </w:rPr>
              <w:t xml:space="preserve"> навчальна дисципліна </w:t>
            </w:r>
          </w:p>
        </w:tc>
      </w:tr>
      <w:tr w:rsidR="002C5960" w:rsidRPr="002C5960" w14:paraId="006BB386" w14:textId="77777777">
        <w:trPr>
          <w:jc w:val="center"/>
        </w:trPr>
        <w:tc>
          <w:tcPr>
            <w:tcW w:w="2518" w:type="dxa"/>
            <w:shd w:val="clear" w:color="auto" w:fill="auto"/>
          </w:tcPr>
          <w:p w14:paraId="28FDFAB0" w14:textId="77777777" w:rsidR="00C43818" w:rsidRPr="002C5960" w:rsidRDefault="00C43818" w:rsidP="00C43818">
            <w:pPr>
              <w:spacing w:before="120" w:after="120"/>
              <w:rPr>
                <w:b/>
                <w:sz w:val="22"/>
                <w:szCs w:val="22"/>
              </w:rPr>
            </w:pPr>
            <w:r w:rsidRPr="002C5960">
              <w:rPr>
                <w:b/>
                <w:sz w:val="22"/>
                <w:szCs w:val="22"/>
              </w:rPr>
              <w:t>Код та назва дисципліни</w:t>
            </w:r>
          </w:p>
        </w:tc>
        <w:tc>
          <w:tcPr>
            <w:tcW w:w="6804" w:type="dxa"/>
            <w:shd w:val="clear" w:color="auto" w:fill="auto"/>
          </w:tcPr>
          <w:p w14:paraId="32870230" w14:textId="403285EB" w:rsidR="00C43818" w:rsidRPr="002C5960" w:rsidRDefault="005E2754" w:rsidP="00AE5DC3">
            <w:pPr>
              <w:spacing w:before="120" w:after="120"/>
              <w:rPr>
                <w:sz w:val="24"/>
                <w:szCs w:val="24"/>
              </w:rPr>
            </w:pPr>
            <w:r w:rsidRPr="002C5960">
              <w:rPr>
                <w:rFonts w:eastAsia="Calibri"/>
                <w:bCs/>
                <w:sz w:val="24"/>
                <w:szCs w:val="24"/>
                <w:lang w:eastAsia="en-US"/>
              </w:rPr>
              <w:t>ОК</w:t>
            </w:r>
            <w:r w:rsidR="00B172E9">
              <w:rPr>
                <w:rFonts w:eastAsia="Calibri"/>
                <w:bCs/>
                <w:sz w:val="24"/>
                <w:szCs w:val="24"/>
                <w:lang w:eastAsia="en-US"/>
              </w:rPr>
              <w:t>2.11</w:t>
            </w:r>
            <w:r w:rsidR="00C43818" w:rsidRPr="002C5960">
              <w:rPr>
                <w:b/>
                <w:bCs/>
                <w:sz w:val="24"/>
                <w:szCs w:val="24"/>
              </w:rPr>
              <w:t xml:space="preserve"> </w:t>
            </w:r>
            <w:r w:rsidR="00B172E9" w:rsidRPr="00B172E9">
              <w:rPr>
                <w:bCs/>
                <w:sz w:val="24"/>
                <w:szCs w:val="24"/>
              </w:rPr>
              <w:t>Методи та засоби вимірювань та контроль</w:t>
            </w:r>
          </w:p>
        </w:tc>
      </w:tr>
      <w:tr w:rsidR="002C5960" w:rsidRPr="002C5960" w14:paraId="6A465965" w14:textId="77777777">
        <w:trPr>
          <w:jc w:val="center"/>
        </w:trPr>
        <w:tc>
          <w:tcPr>
            <w:tcW w:w="2518" w:type="dxa"/>
            <w:shd w:val="clear" w:color="auto" w:fill="auto"/>
          </w:tcPr>
          <w:p w14:paraId="3ED2C51E" w14:textId="77777777" w:rsidR="00C43818" w:rsidRPr="002C5960" w:rsidRDefault="00C43818" w:rsidP="00C43818">
            <w:pPr>
              <w:rPr>
                <w:b/>
                <w:sz w:val="22"/>
                <w:szCs w:val="22"/>
              </w:rPr>
            </w:pPr>
            <w:r w:rsidRPr="002C5960">
              <w:rPr>
                <w:b/>
                <w:sz w:val="22"/>
                <w:szCs w:val="22"/>
              </w:rPr>
              <w:t>Код та назва спеціальності</w:t>
            </w:r>
            <w:r w:rsidR="005066DF" w:rsidRPr="002C5960">
              <w:rPr>
                <w:b/>
                <w:sz w:val="22"/>
                <w:szCs w:val="22"/>
              </w:rPr>
              <w:t xml:space="preserve"> та спеціалізації (за наявності)</w:t>
            </w:r>
          </w:p>
        </w:tc>
        <w:tc>
          <w:tcPr>
            <w:tcW w:w="6804" w:type="dxa"/>
            <w:shd w:val="clear" w:color="auto" w:fill="auto"/>
            <w:vAlign w:val="center"/>
          </w:tcPr>
          <w:p w14:paraId="36E0D489" w14:textId="6A2BE80D" w:rsidR="00C43818" w:rsidRPr="002C5960" w:rsidRDefault="00552025" w:rsidP="00D64026">
            <w:pPr>
              <w:rPr>
                <w:sz w:val="24"/>
                <w:szCs w:val="24"/>
              </w:rPr>
            </w:pPr>
            <w:r>
              <w:rPr>
                <w:sz w:val="24"/>
                <w:szCs w:val="24"/>
                <w:lang w:val="en-US"/>
              </w:rPr>
              <w:t>G6</w:t>
            </w:r>
            <w:bookmarkStart w:id="0" w:name="_GoBack"/>
            <w:bookmarkEnd w:id="0"/>
            <w:r w:rsidR="00C43818" w:rsidRPr="002C5960">
              <w:rPr>
                <w:sz w:val="24"/>
                <w:szCs w:val="24"/>
              </w:rPr>
              <w:t xml:space="preserve"> – </w:t>
            </w:r>
            <w:r w:rsidR="00D64026" w:rsidRPr="002C5960">
              <w:rPr>
                <w:sz w:val="24"/>
                <w:szCs w:val="24"/>
              </w:rPr>
              <w:t>І</w:t>
            </w:r>
            <w:r w:rsidR="00B10D95" w:rsidRPr="002C5960">
              <w:rPr>
                <w:sz w:val="24"/>
                <w:szCs w:val="24"/>
              </w:rPr>
              <w:t>нформаційно-вимірювальн</w:t>
            </w:r>
            <w:r w:rsidR="00D64026" w:rsidRPr="002C5960">
              <w:rPr>
                <w:sz w:val="24"/>
                <w:szCs w:val="24"/>
              </w:rPr>
              <w:t>і</w:t>
            </w:r>
            <w:r w:rsidR="00B10D95" w:rsidRPr="002C5960">
              <w:rPr>
                <w:sz w:val="24"/>
                <w:szCs w:val="24"/>
              </w:rPr>
              <w:t xml:space="preserve"> техн</w:t>
            </w:r>
            <w:r w:rsidR="00D64026" w:rsidRPr="002C5960">
              <w:rPr>
                <w:sz w:val="24"/>
                <w:szCs w:val="24"/>
              </w:rPr>
              <w:t>ології</w:t>
            </w:r>
          </w:p>
        </w:tc>
      </w:tr>
      <w:tr w:rsidR="002C5960" w:rsidRPr="002C5960" w14:paraId="5EEC0698" w14:textId="77777777">
        <w:trPr>
          <w:jc w:val="center"/>
        </w:trPr>
        <w:tc>
          <w:tcPr>
            <w:tcW w:w="2518" w:type="dxa"/>
            <w:shd w:val="clear" w:color="auto" w:fill="auto"/>
          </w:tcPr>
          <w:p w14:paraId="27E0586D" w14:textId="77777777" w:rsidR="00C43818" w:rsidRPr="002C5960" w:rsidRDefault="00C43818" w:rsidP="00C43818">
            <w:pPr>
              <w:rPr>
                <w:b/>
                <w:sz w:val="22"/>
                <w:szCs w:val="22"/>
              </w:rPr>
            </w:pPr>
            <w:r w:rsidRPr="002C5960">
              <w:rPr>
                <w:b/>
                <w:sz w:val="22"/>
                <w:szCs w:val="22"/>
              </w:rPr>
              <w:t>Назва освітньої програми</w:t>
            </w:r>
          </w:p>
        </w:tc>
        <w:tc>
          <w:tcPr>
            <w:tcW w:w="6804" w:type="dxa"/>
            <w:shd w:val="clear" w:color="auto" w:fill="auto"/>
            <w:vAlign w:val="center"/>
          </w:tcPr>
          <w:p w14:paraId="64AD142E" w14:textId="547D663C" w:rsidR="00C43818" w:rsidRPr="00B172E9" w:rsidRDefault="00B172E9" w:rsidP="00E93257">
            <w:pPr>
              <w:rPr>
                <w:sz w:val="24"/>
                <w:szCs w:val="24"/>
              </w:rPr>
            </w:pPr>
            <w:r w:rsidRPr="00B172E9">
              <w:rPr>
                <w:bCs/>
                <w:sz w:val="24"/>
                <w:szCs w:val="24"/>
              </w:rPr>
              <w:t>Інформаційно-вимірювальні технології та  інженерія якості</w:t>
            </w:r>
          </w:p>
        </w:tc>
      </w:tr>
      <w:tr w:rsidR="002C5960" w:rsidRPr="002C5960" w14:paraId="7B175B4D" w14:textId="77777777">
        <w:trPr>
          <w:jc w:val="center"/>
        </w:trPr>
        <w:tc>
          <w:tcPr>
            <w:tcW w:w="2518" w:type="dxa"/>
            <w:shd w:val="clear" w:color="auto" w:fill="auto"/>
          </w:tcPr>
          <w:p w14:paraId="1FC5E5EA" w14:textId="77777777" w:rsidR="00C43818" w:rsidRPr="002C5960" w:rsidRDefault="005066DF" w:rsidP="00C43818">
            <w:pPr>
              <w:rPr>
                <w:b/>
                <w:sz w:val="22"/>
                <w:szCs w:val="22"/>
              </w:rPr>
            </w:pPr>
            <w:r w:rsidRPr="002C5960">
              <w:rPr>
                <w:b/>
                <w:sz w:val="22"/>
                <w:szCs w:val="22"/>
              </w:rPr>
              <w:t>Освітній ступінь</w:t>
            </w:r>
          </w:p>
        </w:tc>
        <w:tc>
          <w:tcPr>
            <w:tcW w:w="6804" w:type="dxa"/>
            <w:shd w:val="clear" w:color="auto" w:fill="auto"/>
            <w:vAlign w:val="center"/>
          </w:tcPr>
          <w:p w14:paraId="0611FCAE" w14:textId="77777777" w:rsidR="00C43818" w:rsidRPr="002C5960" w:rsidRDefault="00E93257" w:rsidP="00E93257">
            <w:pPr>
              <w:rPr>
                <w:sz w:val="24"/>
                <w:szCs w:val="24"/>
              </w:rPr>
            </w:pPr>
            <w:r w:rsidRPr="002C5960">
              <w:rPr>
                <w:sz w:val="24"/>
                <w:szCs w:val="24"/>
              </w:rPr>
              <w:t>Перший</w:t>
            </w:r>
            <w:r w:rsidR="00C43818" w:rsidRPr="002C5960">
              <w:rPr>
                <w:sz w:val="24"/>
                <w:szCs w:val="24"/>
              </w:rPr>
              <w:t xml:space="preserve"> (</w:t>
            </w:r>
            <w:r w:rsidRPr="002C5960">
              <w:rPr>
                <w:sz w:val="24"/>
                <w:szCs w:val="24"/>
              </w:rPr>
              <w:t>бакалаврський</w:t>
            </w:r>
            <w:r w:rsidR="00C43818" w:rsidRPr="002C5960">
              <w:rPr>
                <w:sz w:val="24"/>
                <w:szCs w:val="24"/>
              </w:rPr>
              <w:t>)</w:t>
            </w:r>
          </w:p>
        </w:tc>
      </w:tr>
      <w:tr w:rsidR="002C5960" w:rsidRPr="002C5960" w14:paraId="172AC9B7" w14:textId="77777777">
        <w:trPr>
          <w:jc w:val="center"/>
        </w:trPr>
        <w:tc>
          <w:tcPr>
            <w:tcW w:w="2518" w:type="dxa"/>
            <w:shd w:val="clear" w:color="auto" w:fill="auto"/>
          </w:tcPr>
          <w:p w14:paraId="4A168CBD" w14:textId="77777777" w:rsidR="00C43818" w:rsidRPr="002C5960" w:rsidRDefault="00C43818" w:rsidP="00C43818">
            <w:pPr>
              <w:rPr>
                <w:b/>
                <w:sz w:val="22"/>
                <w:szCs w:val="22"/>
              </w:rPr>
            </w:pPr>
            <w:r w:rsidRPr="002C5960">
              <w:rPr>
                <w:b/>
                <w:sz w:val="22"/>
                <w:szCs w:val="22"/>
              </w:rPr>
              <w:t>Обсяг дисципліни</w:t>
            </w:r>
          </w:p>
          <w:p w14:paraId="5E21FA90" w14:textId="77777777" w:rsidR="005066DF" w:rsidRPr="002C5960" w:rsidRDefault="005066DF" w:rsidP="00C43818">
            <w:pPr>
              <w:rPr>
                <w:sz w:val="22"/>
                <w:szCs w:val="22"/>
              </w:rPr>
            </w:pPr>
            <w:r w:rsidRPr="002C5960">
              <w:rPr>
                <w:sz w:val="22"/>
                <w:szCs w:val="22"/>
              </w:rPr>
              <w:t>(кредитів ЄКТС)</w:t>
            </w:r>
          </w:p>
        </w:tc>
        <w:tc>
          <w:tcPr>
            <w:tcW w:w="6804" w:type="dxa"/>
            <w:shd w:val="clear" w:color="auto" w:fill="auto"/>
            <w:vAlign w:val="center"/>
          </w:tcPr>
          <w:p w14:paraId="5896403A" w14:textId="46F9C472" w:rsidR="00C43818" w:rsidRPr="002C5960" w:rsidRDefault="005E2754" w:rsidP="00AE5DC3">
            <w:pPr>
              <w:rPr>
                <w:sz w:val="24"/>
                <w:szCs w:val="24"/>
              </w:rPr>
            </w:pPr>
            <w:r w:rsidRPr="002C5960">
              <w:rPr>
                <w:sz w:val="24"/>
                <w:szCs w:val="24"/>
              </w:rPr>
              <w:t>1</w:t>
            </w:r>
            <w:r w:rsidR="00B172E9">
              <w:rPr>
                <w:sz w:val="24"/>
                <w:szCs w:val="24"/>
              </w:rPr>
              <w:t>0</w:t>
            </w:r>
          </w:p>
        </w:tc>
      </w:tr>
      <w:tr w:rsidR="002C5960" w:rsidRPr="002C5960" w14:paraId="017A4005" w14:textId="77777777">
        <w:trPr>
          <w:jc w:val="center"/>
        </w:trPr>
        <w:tc>
          <w:tcPr>
            <w:tcW w:w="2518" w:type="dxa"/>
            <w:shd w:val="clear" w:color="auto" w:fill="auto"/>
          </w:tcPr>
          <w:p w14:paraId="5F892062" w14:textId="77777777" w:rsidR="00C43818" w:rsidRPr="002C5960" w:rsidRDefault="00C43818" w:rsidP="00C43818">
            <w:pPr>
              <w:rPr>
                <w:b/>
                <w:sz w:val="22"/>
                <w:szCs w:val="22"/>
              </w:rPr>
            </w:pPr>
            <w:r w:rsidRPr="002C5960">
              <w:rPr>
                <w:b/>
                <w:sz w:val="22"/>
                <w:szCs w:val="22"/>
              </w:rPr>
              <w:t>Терміни вивчення</w:t>
            </w:r>
          </w:p>
          <w:p w14:paraId="2AAC4491" w14:textId="77777777" w:rsidR="00C43818" w:rsidRPr="002C5960" w:rsidRDefault="00C43818" w:rsidP="00C43818">
            <w:pPr>
              <w:rPr>
                <w:b/>
                <w:sz w:val="22"/>
                <w:szCs w:val="22"/>
              </w:rPr>
            </w:pPr>
            <w:r w:rsidRPr="002C5960">
              <w:rPr>
                <w:b/>
                <w:sz w:val="22"/>
                <w:szCs w:val="22"/>
              </w:rPr>
              <w:t>дисципліни</w:t>
            </w:r>
          </w:p>
        </w:tc>
        <w:tc>
          <w:tcPr>
            <w:tcW w:w="6804" w:type="dxa"/>
            <w:shd w:val="clear" w:color="auto" w:fill="auto"/>
            <w:vAlign w:val="center"/>
          </w:tcPr>
          <w:p w14:paraId="2DCF36E8" w14:textId="29B0B001" w:rsidR="00C43818" w:rsidRPr="002C5960" w:rsidRDefault="00B172E9" w:rsidP="00AE5DC3">
            <w:pPr>
              <w:rPr>
                <w:sz w:val="24"/>
                <w:szCs w:val="24"/>
              </w:rPr>
            </w:pPr>
            <w:r>
              <w:rPr>
                <w:sz w:val="24"/>
                <w:szCs w:val="24"/>
              </w:rPr>
              <w:t>3</w:t>
            </w:r>
            <w:r w:rsidR="00AE5DC3" w:rsidRPr="002C5960">
              <w:rPr>
                <w:sz w:val="24"/>
                <w:szCs w:val="24"/>
              </w:rPr>
              <w:t xml:space="preserve"> та</w:t>
            </w:r>
            <w:r w:rsidR="00E23E48" w:rsidRPr="002C5960">
              <w:rPr>
                <w:sz w:val="24"/>
                <w:szCs w:val="24"/>
              </w:rPr>
              <w:t xml:space="preserve"> </w:t>
            </w:r>
            <w:r>
              <w:rPr>
                <w:sz w:val="24"/>
                <w:szCs w:val="24"/>
              </w:rPr>
              <w:t>4</w:t>
            </w:r>
            <w:r w:rsidR="00E23E48" w:rsidRPr="002C5960">
              <w:rPr>
                <w:sz w:val="24"/>
                <w:szCs w:val="24"/>
              </w:rPr>
              <w:t xml:space="preserve"> </w:t>
            </w:r>
            <w:r w:rsidR="00C43818" w:rsidRPr="002C5960">
              <w:rPr>
                <w:sz w:val="24"/>
                <w:szCs w:val="24"/>
              </w:rPr>
              <w:t>семестр</w:t>
            </w:r>
            <w:r w:rsidR="00E23E48" w:rsidRPr="002C5960">
              <w:rPr>
                <w:sz w:val="24"/>
                <w:szCs w:val="24"/>
              </w:rPr>
              <w:t>и</w:t>
            </w:r>
            <w:r w:rsidR="00C43818" w:rsidRPr="002C5960">
              <w:rPr>
                <w:sz w:val="24"/>
                <w:szCs w:val="24"/>
              </w:rPr>
              <w:t xml:space="preserve"> </w:t>
            </w:r>
            <w:r w:rsidR="00B10D95" w:rsidRPr="002C5960">
              <w:rPr>
                <w:sz w:val="24"/>
                <w:szCs w:val="24"/>
              </w:rPr>
              <w:t>(півсеместр</w:t>
            </w:r>
            <w:r w:rsidR="001659F2" w:rsidRPr="002C5960">
              <w:rPr>
                <w:sz w:val="24"/>
                <w:szCs w:val="24"/>
              </w:rPr>
              <w:t>и</w:t>
            </w:r>
            <w:r w:rsidR="00B10D95" w:rsidRPr="002C5960">
              <w:rPr>
                <w:sz w:val="24"/>
                <w:szCs w:val="24"/>
              </w:rPr>
              <w:t xml:space="preserve"> </w:t>
            </w:r>
            <w:r>
              <w:rPr>
                <w:sz w:val="24"/>
                <w:szCs w:val="24"/>
              </w:rPr>
              <w:t>5</w:t>
            </w:r>
            <w:r w:rsidR="00250349" w:rsidRPr="002C5960">
              <w:rPr>
                <w:sz w:val="24"/>
                <w:szCs w:val="24"/>
              </w:rPr>
              <w:t xml:space="preserve">, </w:t>
            </w:r>
            <w:r>
              <w:rPr>
                <w:sz w:val="24"/>
                <w:szCs w:val="24"/>
              </w:rPr>
              <w:t>6</w:t>
            </w:r>
            <w:r w:rsidR="00250349" w:rsidRPr="002C5960">
              <w:rPr>
                <w:sz w:val="24"/>
                <w:szCs w:val="24"/>
              </w:rPr>
              <w:t xml:space="preserve">, </w:t>
            </w:r>
            <w:r>
              <w:rPr>
                <w:sz w:val="24"/>
                <w:szCs w:val="24"/>
              </w:rPr>
              <w:t>7 та 8</w:t>
            </w:r>
            <w:r w:rsidR="00C43818" w:rsidRPr="002C5960">
              <w:rPr>
                <w:sz w:val="24"/>
                <w:szCs w:val="24"/>
              </w:rPr>
              <w:t>)</w:t>
            </w:r>
          </w:p>
        </w:tc>
      </w:tr>
      <w:tr w:rsidR="002C5960" w:rsidRPr="002C5960" w14:paraId="0995F638" w14:textId="77777777">
        <w:trPr>
          <w:jc w:val="center"/>
        </w:trPr>
        <w:tc>
          <w:tcPr>
            <w:tcW w:w="2518" w:type="dxa"/>
            <w:shd w:val="clear" w:color="auto" w:fill="auto"/>
          </w:tcPr>
          <w:p w14:paraId="49F6BC35" w14:textId="77777777" w:rsidR="00C43818" w:rsidRPr="002C5960" w:rsidRDefault="00C43818" w:rsidP="005066DF">
            <w:pPr>
              <w:rPr>
                <w:b/>
                <w:sz w:val="22"/>
                <w:szCs w:val="22"/>
              </w:rPr>
            </w:pPr>
            <w:r w:rsidRPr="002C5960">
              <w:rPr>
                <w:b/>
                <w:sz w:val="22"/>
                <w:szCs w:val="22"/>
              </w:rPr>
              <w:t>Назва кафедри, яка викладає дисципліну</w:t>
            </w:r>
            <w:r w:rsidR="005066DF" w:rsidRPr="002C5960">
              <w:rPr>
                <w:b/>
                <w:sz w:val="22"/>
                <w:szCs w:val="22"/>
              </w:rPr>
              <w:t>, абревіатурне позначення</w:t>
            </w:r>
          </w:p>
        </w:tc>
        <w:tc>
          <w:tcPr>
            <w:tcW w:w="6804" w:type="dxa"/>
            <w:shd w:val="clear" w:color="auto" w:fill="auto"/>
            <w:vAlign w:val="center"/>
          </w:tcPr>
          <w:p w14:paraId="199F2688" w14:textId="77777777" w:rsidR="00C43818" w:rsidRPr="002C5960" w:rsidRDefault="00B10D95" w:rsidP="00B10D95">
            <w:pPr>
              <w:rPr>
                <w:sz w:val="24"/>
                <w:szCs w:val="24"/>
              </w:rPr>
            </w:pPr>
            <w:r w:rsidRPr="002C5960">
              <w:rPr>
                <w:sz w:val="24"/>
                <w:szCs w:val="24"/>
              </w:rPr>
              <w:t>Систем якості, стандартизації та метрології</w:t>
            </w:r>
            <w:r w:rsidR="00C43818" w:rsidRPr="002C5960">
              <w:rPr>
                <w:sz w:val="24"/>
                <w:szCs w:val="24"/>
              </w:rPr>
              <w:t xml:space="preserve"> (</w:t>
            </w:r>
            <w:r w:rsidRPr="002C5960">
              <w:rPr>
                <w:sz w:val="24"/>
                <w:szCs w:val="24"/>
              </w:rPr>
              <w:t>СЯСМ</w:t>
            </w:r>
            <w:r w:rsidR="00C43818" w:rsidRPr="002C5960">
              <w:rPr>
                <w:sz w:val="24"/>
                <w:szCs w:val="24"/>
              </w:rPr>
              <w:t>)</w:t>
            </w:r>
          </w:p>
        </w:tc>
      </w:tr>
      <w:tr w:rsidR="002C5960" w:rsidRPr="002C5960" w14:paraId="0A8A0E55" w14:textId="77777777">
        <w:trPr>
          <w:jc w:val="center"/>
        </w:trPr>
        <w:tc>
          <w:tcPr>
            <w:tcW w:w="2518" w:type="dxa"/>
            <w:shd w:val="clear" w:color="auto" w:fill="auto"/>
          </w:tcPr>
          <w:p w14:paraId="59136868" w14:textId="77777777" w:rsidR="00C43818" w:rsidRPr="002C5960" w:rsidRDefault="00C43818" w:rsidP="00C43818">
            <w:pPr>
              <w:rPr>
                <w:sz w:val="22"/>
                <w:szCs w:val="22"/>
              </w:rPr>
            </w:pPr>
            <w:r w:rsidRPr="002C5960">
              <w:rPr>
                <w:sz w:val="22"/>
                <w:szCs w:val="22"/>
              </w:rPr>
              <w:t>Мова викладання</w:t>
            </w:r>
          </w:p>
        </w:tc>
        <w:tc>
          <w:tcPr>
            <w:tcW w:w="6804" w:type="dxa"/>
            <w:shd w:val="clear" w:color="auto" w:fill="auto"/>
            <w:vAlign w:val="center"/>
          </w:tcPr>
          <w:p w14:paraId="5899421C" w14:textId="77777777" w:rsidR="00C43818" w:rsidRPr="002C5960" w:rsidRDefault="00C43818" w:rsidP="00C43818">
            <w:pPr>
              <w:rPr>
                <w:sz w:val="24"/>
                <w:szCs w:val="24"/>
              </w:rPr>
            </w:pPr>
            <w:r w:rsidRPr="002C5960">
              <w:rPr>
                <w:sz w:val="24"/>
                <w:szCs w:val="24"/>
              </w:rPr>
              <w:t>Українська</w:t>
            </w:r>
          </w:p>
        </w:tc>
      </w:tr>
    </w:tbl>
    <w:p w14:paraId="6D548467" w14:textId="77777777" w:rsidR="002E527B" w:rsidRPr="002C5960" w:rsidRDefault="002E527B" w:rsidP="00C43818">
      <w:pPr>
        <w:overflowPunct w:val="0"/>
        <w:textAlignment w:val="baseline"/>
        <w:rPr>
          <w:i/>
        </w:rPr>
      </w:pPr>
    </w:p>
    <w:p w14:paraId="5E686617" w14:textId="77777777" w:rsidR="00AB25A1" w:rsidRPr="002C5960" w:rsidRDefault="00AB25A1" w:rsidP="00AB25A1">
      <w:pPr>
        <w:rPr>
          <w:b/>
          <w:bCs/>
          <w:sz w:val="24"/>
          <w:szCs w:val="24"/>
        </w:rPr>
      </w:pPr>
      <w:r w:rsidRPr="002C5960">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2C5960" w:rsidRPr="002C5960" w14:paraId="39BE5FAF" w14:textId="77777777" w:rsidTr="00B00FB6">
        <w:trPr>
          <w:trHeight w:val="551"/>
        </w:trPr>
        <w:tc>
          <w:tcPr>
            <w:tcW w:w="3402" w:type="dxa"/>
            <w:vMerge w:val="restart"/>
            <w:vAlign w:val="center"/>
          </w:tcPr>
          <w:p w14:paraId="6621782A" w14:textId="77777777" w:rsidR="00AB25A1" w:rsidRPr="002C5960" w:rsidRDefault="00AB25A1" w:rsidP="00867275">
            <w:pPr>
              <w:jc w:val="center"/>
              <w:rPr>
                <w:b/>
                <w:bCs/>
                <w:sz w:val="24"/>
                <w:szCs w:val="24"/>
              </w:rPr>
            </w:pPr>
            <w:r w:rsidRPr="002C5960">
              <w:rPr>
                <w:b/>
                <w:bCs/>
                <w:noProof/>
                <w:sz w:val="24"/>
                <w:szCs w:val="24"/>
                <w:lang w:val="en-US" w:eastAsia="en-US"/>
              </w:rPr>
              <w:drawing>
                <wp:anchor distT="0" distB="0" distL="114300" distR="114300" simplePos="0" relativeHeight="251659264" behindDoc="1" locked="0" layoutInCell="1" allowOverlap="1" wp14:anchorId="654D9397" wp14:editId="6C23FBD8">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450" y="1800"/>
                      <wp:lineTo x="6300" y="4050"/>
                      <wp:lineTo x="6300" y="7650"/>
                      <wp:lineTo x="8100" y="9900"/>
                      <wp:lineTo x="4050" y="12600"/>
                      <wp:lineTo x="2250" y="14400"/>
                      <wp:lineTo x="2250" y="19350"/>
                      <wp:lineTo x="18900" y="19350"/>
                      <wp:lineTo x="19350" y="15300"/>
                      <wp:lineTo x="17100" y="12600"/>
                      <wp:lineTo x="13050" y="9900"/>
                      <wp:lineTo x="15300" y="7200"/>
                      <wp:lineTo x="14850" y="4050"/>
                      <wp:lineTo x="11700" y="1800"/>
                      <wp:lineTo x="9450" y="180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960">
              <w:rPr>
                <w:b/>
                <w:bCs/>
                <w:sz w:val="24"/>
                <w:szCs w:val="24"/>
              </w:rPr>
              <w:t>Фото</w:t>
            </w:r>
          </w:p>
          <w:p w14:paraId="2D0BCE1B" w14:textId="77777777" w:rsidR="00AB25A1" w:rsidRPr="002C5960" w:rsidRDefault="00AB25A1" w:rsidP="00867275">
            <w:pPr>
              <w:jc w:val="center"/>
              <w:rPr>
                <w:b/>
                <w:bCs/>
                <w:sz w:val="24"/>
                <w:szCs w:val="24"/>
              </w:rPr>
            </w:pPr>
            <w:r w:rsidRPr="002C5960">
              <w:rPr>
                <w:b/>
                <w:bCs/>
                <w:sz w:val="24"/>
                <w:szCs w:val="24"/>
              </w:rPr>
              <w:t>(за бажанням)</w:t>
            </w:r>
          </w:p>
        </w:tc>
        <w:tc>
          <w:tcPr>
            <w:tcW w:w="5954" w:type="dxa"/>
          </w:tcPr>
          <w:p w14:paraId="38EEBC66" w14:textId="77777777" w:rsidR="00AB25A1" w:rsidRPr="002C5960" w:rsidRDefault="00AB25A1" w:rsidP="00B00FB6">
            <w:pPr>
              <w:rPr>
                <w:sz w:val="24"/>
                <w:szCs w:val="24"/>
              </w:rPr>
            </w:pPr>
            <w:r w:rsidRPr="002C5960">
              <w:rPr>
                <w:sz w:val="24"/>
                <w:szCs w:val="24"/>
              </w:rPr>
              <w:t xml:space="preserve">Канд. техн. наук, доцент Чорноіваненко Катерина Олександрівна  </w:t>
            </w:r>
            <w:r w:rsidRPr="002C5960">
              <w:rPr>
                <w:sz w:val="24"/>
                <w:szCs w:val="24"/>
                <w:lang w:val="pt-BR"/>
              </w:rPr>
              <w:t xml:space="preserve"> </w:t>
            </w:r>
          </w:p>
        </w:tc>
      </w:tr>
      <w:tr w:rsidR="002C5960" w:rsidRPr="002C5960" w14:paraId="690032BF" w14:textId="77777777" w:rsidTr="00867275">
        <w:tc>
          <w:tcPr>
            <w:tcW w:w="3402" w:type="dxa"/>
            <w:vMerge/>
          </w:tcPr>
          <w:p w14:paraId="5769931E" w14:textId="77777777" w:rsidR="00AB25A1" w:rsidRPr="002C5960" w:rsidRDefault="00AB25A1" w:rsidP="00867275">
            <w:pPr>
              <w:rPr>
                <w:b/>
                <w:bCs/>
                <w:sz w:val="24"/>
                <w:szCs w:val="24"/>
              </w:rPr>
            </w:pPr>
          </w:p>
        </w:tc>
        <w:tc>
          <w:tcPr>
            <w:tcW w:w="5954" w:type="dxa"/>
          </w:tcPr>
          <w:p w14:paraId="083DB7E0" w14:textId="77777777" w:rsidR="00075C69" w:rsidRPr="002C5960" w:rsidRDefault="00075C69" w:rsidP="00075C69">
            <w:pPr>
              <w:rPr>
                <w:sz w:val="24"/>
                <w:szCs w:val="24"/>
              </w:rPr>
            </w:pPr>
            <w:r w:rsidRPr="002C5960">
              <w:rPr>
                <w:sz w:val="24"/>
                <w:szCs w:val="24"/>
              </w:rPr>
              <w:t>Корпоративний Е-mail: k.o.chornoivanenko@ust.edu.ua</w:t>
            </w:r>
          </w:p>
          <w:p w14:paraId="42C3B4E9" w14:textId="77777777" w:rsidR="00AB25A1" w:rsidRPr="002C5960" w:rsidRDefault="00075C69" w:rsidP="00075C69">
            <w:pPr>
              <w:rPr>
                <w:sz w:val="24"/>
                <w:szCs w:val="24"/>
              </w:rPr>
            </w:pPr>
            <w:r w:rsidRPr="002C5960">
              <w:rPr>
                <w:sz w:val="24"/>
                <w:szCs w:val="24"/>
              </w:rPr>
              <w:t xml:space="preserve">e-mail: </w:t>
            </w:r>
            <w:hyperlink r:id="rId9" w:history="1">
              <w:r w:rsidRPr="002C5960">
                <w:rPr>
                  <w:rStyle w:val="a4"/>
                  <w:color w:val="auto"/>
                  <w:sz w:val="24"/>
                  <w:szCs w:val="24"/>
                </w:rPr>
                <w:t>ekatmovchan@gmail.com</w:t>
              </w:r>
            </w:hyperlink>
          </w:p>
        </w:tc>
      </w:tr>
      <w:tr w:rsidR="002C5960" w:rsidRPr="002C5960" w14:paraId="74D9D1CC" w14:textId="77777777" w:rsidTr="00867275">
        <w:tc>
          <w:tcPr>
            <w:tcW w:w="3402" w:type="dxa"/>
            <w:vMerge/>
          </w:tcPr>
          <w:p w14:paraId="47A7BD00" w14:textId="77777777" w:rsidR="00AB25A1" w:rsidRPr="002C5960" w:rsidRDefault="00AB25A1" w:rsidP="00867275">
            <w:pPr>
              <w:rPr>
                <w:b/>
                <w:bCs/>
                <w:sz w:val="24"/>
                <w:szCs w:val="24"/>
              </w:rPr>
            </w:pPr>
          </w:p>
        </w:tc>
        <w:tc>
          <w:tcPr>
            <w:tcW w:w="5954" w:type="dxa"/>
          </w:tcPr>
          <w:p w14:paraId="090A8D42" w14:textId="77777777" w:rsidR="00AB25A1" w:rsidRPr="002C5960" w:rsidRDefault="00075C69" w:rsidP="00867275">
            <w:pPr>
              <w:rPr>
                <w:sz w:val="24"/>
                <w:szCs w:val="24"/>
              </w:rPr>
            </w:pPr>
            <w:r w:rsidRPr="002C5960">
              <w:rPr>
                <w:sz w:val="24"/>
                <w:szCs w:val="24"/>
              </w:rPr>
              <w:t>Лінк на персональну сторінку викладача на сайті кафедри https://nmetau.edu.ua/ua/mdiv/i2037/p-2/e2249</w:t>
            </w:r>
          </w:p>
        </w:tc>
      </w:tr>
      <w:tr w:rsidR="002C5960" w:rsidRPr="002C5960" w14:paraId="44429184" w14:textId="77777777" w:rsidTr="00867275">
        <w:trPr>
          <w:trHeight w:val="383"/>
        </w:trPr>
        <w:tc>
          <w:tcPr>
            <w:tcW w:w="3402" w:type="dxa"/>
            <w:vMerge/>
          </w:tcPr>
          <w:p w14:paraId="6352817C" w14:textId="77777777" w:rsidR="00AB25A1" w:rsidRPr="002C5960" w:rsidRDefault="00AB25A1" w:rsidP="00867275">
            <w:pPr>
              <w:rPr>
                <w:b/>
                <w:bCs/>
                <w:sz w:val="24"/>
                <w:szCs w:val="24"/>
              </w:rPr>
            </w:pPr>
          </w:p>
        </w:tc>
        <w:tc>
          <w:tcPr>
            <w:tcW w:w="5954" w:type="dxa"/>
          </w:tcPr>
          <w:p w14:paraId="6F3E4DFB" w14:textId="77777777" w:rsidR="00AB25A1" w:rsidRPr="002C5960" w:rsidRDefault="00E92E65" w:rsidP="00D64026">
            <w:pPr>
              <w:rPr>
                <w:sz w:val="24"/>
                <w:szCs w:val="24"/>
              </w:rPr>
            </w:pPr>
            <w:r w:rsidRPr="002C5960">
              <w:rPr>
                <w:sz w:val="24"/>
                <w:szCs w:val="24"/>
              </w:rPr>
              <w:t>Л</w:t>
            </w:r>
            <w:r w:rsidR="00AB25A1" w:rsidRPr="002C5960">
              <w:rPr>
                <w:sz w:val="24"/>
                <w:szCs w:val="24"/>
              </w:rPr>
              <w:t xml:space="preserve">інк на дисципліну (за наявністю) </w:t>
            </w:r>
          </w:p>
        </w:tc>
      </w:tr>
      <w:tr w:rsidR="002C5960" w:rsidRPr="002C5960" w14:paraId="4EBCFA22" w14:textId="77777777" w:rsidTr="00867275">
        <w:trPr>
          <w:trHeight w:val="645"/>
        </w:trPr>
        <w:tc>
          <w:tcPr>
            <w:tcW w:w="3402" w:type="dxa"/>
            <w:vMerge/>
          </w:tcPr>
          <w:p w14:paraId="48D54E31" w14:textId="77777777" w:rsidR="00AB25A1" w:rsidRPr="002C5960" w:rsidRDefault="00AB25A1" w:rsidP="00867275">
            <w:pPr>
              <w:rPr>
                <w:b/>
                <w:bCs/>
                <w:sz w:val="24"/>
                <w:szCs w:val="24"/>
              </w:rPr>
            </w:pPr>
          </w:p>
        </w:tc>
        <w:tc>
          <w:tcPr>
            <w:tcW w:w="5954" w:type="dxa"/>
          </w:tcPr>
          <w:p w14:paraId="3A259474" w14:textId="104BF50A" w:rsidR="00AB25A1" w:rsidRPr="002C5960" w:rsidRDefault="00B172E9" w:rsidP="00867275">
            <w:pPr>
              <w:rPr>
                <w:sz w:val="24"/>
                <w:szCs w:val="24"/>
              </w:rPr>
            </w:pPr>
            <w:r>
              <w:rPr>
                <w:sz w:val="24"/>
                <w:szCs w:val="24"/>
              </w:rPr>
              <w:t>п</w:t>
            </w:r>
            <w:r w:rsidR="00AB25A1" w:rsidRPr="002C5960">
              <w:rPr>
                <w:sz w:val="24"/>
                <w:szCs w:val="24"/>
              </w:rPr>
              <w:t xml:space="preserve">р. </w:t>
            </w:r>
            <w:r>
              <w:rPr>
                <w:sz w:val="24"/>
                <w:szCs w:val="24"/>
              </w:rPr>
              <w:t>Науки</w:t>
            </w:r>
            <w:r w:rsidR="00AB25A1" w:rsidRPr="002C5960">
              <w:rPr>
                <w:sz w:val="24"/>
                <w:szCs w:val="24"/>
              </w:rPr>
              <w:t>, 4, кімн. 282</w:t>
            </w:r>
          </w:p>
        </w:tc>
      </w:tr>
    </w:tbl>
    <w:p w14:paraId="42D4DBF1" w14:textId="77777777" w:rsidR="00AB25A1" w:rsidRPr="002C5960" w:rsidRDefault="00AB25A1" w:rsidP="00AB25A1">
      <w:pP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2C5960" w:rsidRPr="002C5960" w14:paraId="737DA8FB" w14:textId="77777777" w:rsidTr="00867275">
        <w:trPr>
          <w:jc w:val="center"/>
        </w:trPr>
        <w:tc>
          <w:tcPr>
            <w:tcW w:w="2518" w:type="dxa"/>
            <w:shd w:val="clear" w:color="auto" w:fill="auto"/>
          </w:tcPr>
          <w:p w14:paraId="7B069479" w14:textId="77777777" w:rsidR="00AB25A1" w:rsidRPr="002C5960" w:rsidRDefault="00AB25A1" w:rsidP="00867275">
            <w:pPr>
              <w:rPr>
                <w:b/>
                <w:sz w:val="22"/>
                <w:szCs w:val="22"/>
              </w:rPr>
            </w:pPr>
            <w:r w:rsidRPr="002C5960">
              <w:rPr>
                <w:b/>
                <w:sz w:val="22"/>
                <w:szCs w:val="22"/>
              </w:rPr>
              <w:t>Передумови вивчення дисципліни</w:t>
            </w:r>
          </w:p>
        </w:tc>
        <w:tc>
          <w:tcPr>
            <w:tcW w:w="6804" w:type="dxa"/>
            <w:shd w:val="clear" w:color="auto" w:fill="auto"/>
          </w:tcPr>
          <w:p w14:paraId="467AE3B0" w14:textId="16E741B3" w:rsidR="00AB25A1" w:rsidRPr="00BA620E" w:rsidRDefault="00BA620E" w:rsidP="00BA620E">
            <w:pPr>
              <w:pStyle w:val="Default"/>
              <w:jc w:val="both"/>
              <w:rPr>
                <w:color w:val="auto"/>
                <w:lang w:val="uk-UA"/>
              </w:rPr>
            </w:pPr>
            <w:r w:rsidRPr="00BA620E">
              <w:rPr>
                <w:color w:val="auto"/>
                <w:lang w:val="uk-UA"/>
              </w:rPr>
              <w:t xml:space="preserve">Передумовами для вивчення дисципліни є попереднє опанування дисциплінами Циклу загальної підготовки («Історія та культура України» та ін.), загально-наукових та загально-технічних дисциплін Циклу фахової підготовки («Вища математика», «Фізика», «Алгоритмізація та програмування», «Електротехніка»), фахових дисциплін цього циклу («Метрологія» та ін.).  </w:t>
            </w:r>
          </w:p>
        </w:tc>
      </w:tr>
      <w:tr w:rsidR="002C5960" w:rsidRPr="002C5960" w14:paraId="7AC75223" w14:textId="77777777" w:rsidTr="00867275">
        <w:trPr>
          <w:jc w:val="center"/>
        </w:trPr>
        <w:tc>
          <w:tcPr>
            <w:tcW w:w="2518" w:type="dxa"/>
            <w:shd w:val="clear" w:color="auto" w:fill="auto"/>
          </w:tcPr>
          <w:p w14:paraId="36C8A16A" w14:textId="77777777" w:rsidR="00AB25A1" w:rsidRPr="002C5960" w:rsidRDefault="00AB25A1" w:rsidP="00867275">
            <w:pPr>
              <w:rPr>
                <w:b/>
                <w:sz w:val="24"/>
                <w:szCs w:val="24"/>
              </w:rPr>
            </w:pPr>
            <w:r w:rsidRPr="002C5960">
              <w:rPr>
                <w:b/>
                <w:sz w:val="24"/>
                <w:szCs w:val="24"/>
              </w:rPr>
              <w:t>Мета навчальної дисципліни</w:t>
            </w:r>
          </w:p>
        </w:tc>
        <w:tc>
          <w:tcPr>
            <w:tcW w:w="6804" w:type="dxa"/>
            <w:shd w:val="clear" w:color="auto" w:fill="auto"/>
          </w:tcPr>
          <w:p w14:paraId="49E53FA4" w14:textId="77777777" w:rsidR="00AB25A1" w:rsidRPr="002C5960" w:rsidRDefault="00AB25A1" w:rsidP="00867275">
            <w:pPr>
              <w:jc w:val="both"/>
              <w:rPr>
                <w:bCs/>
                <w:sz w:val="24"/>
                <w:szCs w:val="24"/>
              </w:rPr>
            </w:pPr>
            <w:r w:rsidRPr="002C5960">
              <w:rPr>
                <w:bCs/>
                <w:sz w:val="24"/>
                <w:szCs w:val="24"/>
              </w:rPr>
              <w:t>Засвоєння знань та придбання умінь й навичок, необхідних для використання різних видів вимірювальної техніки, зокрема, при проєктуванні систем і схем вимірювання певних об’єктів за сферою діяльності  із застосуванням засобів інформаційно-</w:t>
            </w:r>
            <w:r w:rsidRPr="002C5960">
              <w:rPr>
                <w:bCs/>
                <w:sz w:val="24"/>
                <w:szCs w:val="24"/>
              </w:rPr>
              <w:lastRenderedPageBreak/>
              <w:t>вимірювальної техніки.</w:t>
            </w:r>
          </w:p>
        </w:tc>
      </w:tr>
      <w:tr w:rsidR="002C5960" w:rsidRPr="002C5960" w14:paraId="0AF47A3A" w14:textId="77777777" w:rsidTr="00867275">
        <w:trPr>
          <w:trHeight w:val="207"/>
          <w:jc w:val="center"/>
        </w:trPr>
        <w:tc>
          <w:tcPr>
            <w:tcW w:w="2518" w:type="dxa"/>
            <w:vMerge w:val="restart"/>
            <w:shd w:val="clear" w:color="auto" w:fill="auto"/>
          </w:tcPr>
          <w:p w14:paraId="4BA70791" w14:textId="77777777" w:rsidR="00AB25A1" w:rsidRPr="002C5960" w:rsidRDefault="00AB25A1" w:rsidP="00867275">
            <w:pPr>
              <w:rPr>
                <w:b/>
                <w:sz w:val="24"/>
                <w:szCs w:val="24"/>
              </w:rPr>
            </w:pPr>
            <w:r w:rsidRPr="002C5960">
              <w:rPr>
                <w:b/>
                <w:sz w:val="24"/>
                <w:szCs w:val="24"/>
              </w:rPr>
              <w:lastRenderedPageBreak/>
              <w:t>Очікувані результати навчання</w:t>
            </w:r>
          </w:p>
        </w:tc>
        <w:tc>
          <w:tcPr>
            <w:tcW w:w="6804" w:type="dxa"/>
            <w:shd w:val="clear" w:color="auto" w:fill="auto"/>
            <w:vAlign w:val="center"/>
          </w:tcPr>
          <w:p w14:paraId="61DA3372" w14:textId="77777777" w:rsidR="00AB25A1" w:rsidRPr="002C5960" w:rsidRDefault="00AB25A1" w:rsidP="00F57A3F">
            <w:pPr>
              <w:jc w:val="both"/>
              <w:rPr>
                <w:sz w:val="24"/>
                <w:szCs w:val="24"/>
              </w:rPr>
            </w:pPr>
            <w:r w:rsidRPr="002C5960">
              <w:rPr>
                <w:sz w:val="24"/>
                <w:szCs w:val="24"/>
              </w:rPr>
              <w:t xml:space="preserve">ОРН1. </w:t>
            </w:r>
            <w:r w:rsidR="00F57A3F" w:rsidRPr="002C5960">
              <w:rPr>
                <w:sz w:val="24"/>
                <w:szCs w:val="24"/>
              </w:rPr>
              <w:t>Знати</w:t>
            </w:r>
            <w:r w:rsidRPr="002C5960">
              <w:rPr>
                <w:sz w:val="24"/>
                <w:szCs w:val="24"/>
              </w:rPr>
              <w:t xml:space="preserve"> основні одиниці фізичних величин, їх класифікацію та основи забезпечення єдності вимірювань</w:t>
            </w:r>
          </w:p>
        </w:tc>
      </w:tr>
      <w:tr w:rsidR="002C5960" w:rsidRPr="002C5960" w14:paraId="3BB5ED9E" w14:textId="77777777" w:rsidTr="00867275">
        <w:trPr>
          <w:trHeight w:val="206"/>
          <w:jc w:val="center"/>
        </w:trPr>
        <w:tc>
          <w:tcPr>
            <w:tcW w:w="2518" w:type="dxa"/>
            <w:vMerge/>
            <w:shd w:val="clear" w:color="auto" w:fill="auto"/>
          </w:tcPr>
          <w:p w14:paraId="6001C66E" w14:textId="77777777" w:rsidR="00AB25A1" w:rsidRPr="002C5960" w:rsidRDefault="00AB25A1" w:rsidP="00867275">
            <w:pPr>
              <w:rPr>
                <w:sz w:val="24"/>
                <w:szCs w:val="24"/>
              </w:rPr>
            </w:pPr>
          </w:p>
        </w:tc>
        <w:tc>
          <w:tcPr>
            <w:tcW w:w="6804" w:type="dxa"/>
            <w:shd w:val="clear" w:color="auto" w:fill="auto"/>
            <w:vAlign w:val="center"/>
          </w:tcPr>
          <w:p w14:paraId="3F264F1D" w14:textId="77777777" w:rsidR="00AB25A1" w:rsidRPr="002C5960" w:rsidRDefault="00AB25A1" w:rsidP="00867275">
            <w:pPr>
              <w:jc w:val="both"/>
              <w:rPr>
                <w:sz w:val="24"/>
                <w:szCs w:val="24"/>
              </w:rPr>
            </w:pPr>
            <w:r w:rsidRPr="002C5960">
              <w:rPr>
                <w:sz w:val="24"/>
                <w:szCs w:val="24"/>
              </w:rPr>
              <w:t xml:space="preserve">ОРН2. </w:t>
            </w:r>
            <w:r w:rsidRPr="002C5960">
              <w:rPr>
                <w:sz w:val="24"/>
                <w:szCs w:val="24"/>
                <w:lang w:eastAsia="en-US"/>
              </w:rPr>
              <w:t>Описати будову і принципи роботи засобів вимірювальної техніки</w:t>
            </w:r>
          </w:p>
        </w:tc>
      </w:tr>
      <w:tr w:rsidR="002C5960" w:rsidRPr="002C5960" w14:paraId="14D82CC8" w14:textId="77777777" w:rsidTr="00867275">
        <w:trPr>
          <w:trHeight w:val="206"/>
          <w:jc w:val="center"/>
        </w:trPr>
        <w:tc>
          <w:tcPr>
            <w:tcW w:w="2518" w:type="dxa"/>
            <w:vMerge/>
            <w:shd w:val="clear" w:color="auto" w:fill="auto"/>
          </w:tcPr>
          <w:p w14:paraId="4D699752" w14:textId="77777777" w:rsidR="00AB25A1" w:rsidRPr="002C5960" w:rsidRDefault="00AB25A1" w:rsidP="00867275">
            <w:pPr>
              <w:rPr>
                <w:sz w:val="24"/>
                <w:szCs w:val="24"/>
              </w:rPr>
            </w:pPr>
          </w:p>
        </w:tc>
        <w:tc>
          <w:tcPr>
            <w:tcW w:w="6804" w:type="dxa"/>
            <w:shd w:val="clear" w:color="auto" w:fill="auto"/>
            <w:vAlign w:val="center"/>
          </w:tcPr>
          <w:p w14:paraId="66DF0538" w14:textId="77777777" w:rsidR="00AB25A1" w:rsidRPr="002C5960" w:rsidRDefault="00AB25A1" w:rsidP="00F57A3F">
            <w:pPr>
              <w:jc w:val="both"/>
              <w:rPr>
                <w:sz w:val="24"/>
                <w:szCs w:val="24"/>
              </w:rPr>
            </w:pPr>
            <w:r w:rsidRPr="002C5960">
              <w:rPr>
                <w:sz w:val="24"/>
                <w:szCs w:val="24"/>
              </w:rPr>
              <w:t xml:space="preserve">ОРН3. </w:t>
            </w:r>
            <w:r w:rsidR="00F57A3F" w:rsidRPr="002C5960">
              <w:rPr>
                <w:sz w:val="24"/>
                <w:szCs w:val="24"/>
              </w:rPr>
              <w:t>Знати</w:t>
            </w:r>
            <w:r w:rsidRPr="002C5960">
              <w:rPr>
                <w:sz w:val="24"/>
                <w:szCs w:val="24"/>
              </w:rPr>
              <w:t xml:space="preserve"> види та методи вимірювань, основи планування та організації вимірювань</w:t>
            </w:r>
          </w:p>
        </w:tc>
      </w:tr>
      <w:tr w:rsidR="002C5960" w:rsidRPr="002C5960" w14:paraId="58BEFF9C" w14:textId="77777777" w:rsidTr="00867275">
        <w:trPr>
          <w:trHeight w:val="206"/>
          <w:jc w:val="center"/>
        </w:trPr>
        <w:tc>
          <w:tcPr>
            <w:tcW w:w="2518" w:type="dxa"/>
            <w:vMerge/>
            <w:shd w:val="clear" w:color="auto" w:fill="auto"/>
          </w:tcPr>
          <w:p w14:paraId="443ABCAA" w14:textId="77777777" w:rsidR="00AB25A1" w:rsidRPr="002C5960" w:rsidRDefault="00AB25A1" w:rsidP="00867275">
            <w:pPr>
              <w:rPr>
                <w:sz w:val="24"/>
                <w:szCs w:val="24"/>
              </w:rPr>
            </w:pPr>
          </w:p>
        </w:tc>
        <w:tc>
          <w:tcPr>
            <w:tcW w:w="6804" w:type="dxa"/>
            <w:shd w:val="clear" w:color="auto" w:fill="auto"/>
            <w:vAlign w:val="center"/>
          </w:tcPr>
          <w:p w14:paraId="1C648E97" w14:textId="77777777" w:rsidR="00AB25A1" w:rsidRPr="002C5960" w:rsidRDefault="00AB25A1" w:rsidP="00867275">
            <w:pPr>
              <w:jc w:val="both"/>
              <w:rPr>
                <w:sz w:val="24"/>
                <w:szCs w:val="24"/>
              </w:rPr>
            </w:pPr>
            <w:r w:rsidRPr="002C5960">
              <w:rPr>
                <w:sz w:val="24"/>
                <w:szCs w:val="24"/>
              </w:rPr>
              <w:t>ОРН4. Оцінювати метрологічні характеристики засобів вимірювань щодо їх відповідності вимогам норм точності</w:t>
            </w:r>
          </w:p>
        </w:tc>
      </w:tr>
      <w:tr w:rsidR="002C5960" w:rsidRPr="002C5960" w14:paraId="01B230DA" w14:textId="77777777" w:rsidTr="00867275">
        <w:trPr>
          <w:trHeight w:val="206"/>
          <w:jc w:val="center"/>
        </w:trPr>
        <w:tc>
          <w:tcPr>
            <w:tcW w:w="2518" w:type="dxa"/>
            <w:vMerge/>
            <w:shd w:val="clear" w:color="auto" w:fill="auto"/>
          </w:tcPr>
          <w:p w14:paraId="3260EBD3" w14:textId="77777777" w:rsidR="00AB25A1" w:rsidRPr="002C5960" w:rsidRDefault="00AB25A1" w:rsidP="00867275">
            <w:pPr>
              <w:rPr>
                <w:sz w:val="24"/>
                <w:szCs w:val="24"/>
              </w:rPr>
            </w:pPr>
          </w:p>
        </w:tc>
        <w:tc>
          <w:tcPr>
            <w:tcW w:w="6804" w:type="dxa"/>
            <w:shd w:val="clear" w:color="auto" w:fill="auto"/>
            <w:vAlign w:val="center"/>
          </w:tcPr>
          <w:p w14:paraId="4B43C38F" w14:textId="77777777" w:rsidR="00AB25A1" w:rsidRPr="002C5960" w:rsidRDefault="00AB25A1" w:rsidP="00867275">
            <w:pPr>
              <w:jc w:val="both"/>
              <w:rPr>
                <w:sz w:val="24"/>
                <w:szCs w:val="24"/>
              </w:rPr>
            </w:pPr>
            <w:r w:rsidRPr="002C5960">
              <w:rPr>
                <w:sz w:val="24"/>
                <w:szCs w:val="24"/>
              </w:rPr>
              <w:t>ОРН5. Застосовувати підходи до метрологічного забезпечення роботи технічних пристроїв</w:t>
            </w:r>
          </w:p>
        </w:tc>
      </w:tr>
      <w:tr w:rsidR="002C5960" w:rsidRPr="002C5960" w14:paraId="7A0B3D69" w14:textId="77777777" w:rsidTr="00867275">
        <w:trPr>
          <w:trHeight w:val="206"/>
          <w:jc w:val="center"/>
        </w:trPr>
        <w:tc>
          <w:tcPr>
            <w:tcW w:w="2518" w:type="dxa"/>
            <w:vMerge/>
            <w:shd w:val="clear" w:color="auto" w:fill="auto"/>
          </w:tcPr>
          <w:p w14:paraId="2C08BDE3" w14:textId="77777777" w:rsidR="00AB25A1" w:rsidRPr="002C5960" w:rsidRDefault="00AB25A1" w:rsidP="00867275">
            <w:pPr>
              <w:rPr>
                <w:sz w:val="24"/>
                <w:szCs w:val="24"/>
              </w:rPr>
            </w:pPr>
          </w:p>
        </w:tc>
        <w:tc>
          <w:tcPr>
            <w:tcW w:w="6804" w:type="dxa"/>
            <w:shd w:val="clear" w:color="auto" w:fill="auto"/>
            <w:vAlign w:val="center"/>
          </w:tcPr>
          <w:p w14:paraId="66698B20" w14:textId="77777777" w:rsidR="00AB25A1" w:rsidRPr="002C5960" w:rsidRDefault="00AB25A1" w:rsidP="00867275">
            <w:pPr>
              <w:jc w:val="both"/>
              <w:rPr>
                <w:sz w:val="24"/>
                <w:szCs w:val="24"/>
              </w:rPr>
            </w:pPr>
            <w:r w:rsidRPr="002C5960">
              <w:rPr>
                <w:sz w:val="24"/>
                <w:szCs w:val="24"/>
              </w:rPr>
              <w:t>ОРН6. Описувати основні процеси вимірювань та випробувань, що основані на хімічних реакціях</w:t>
            </w:r>
          </w:p>
        </w:tc>
      </w:tr>
      <w:tr w:rsidR="002C5960" w:rsidRPr="002C5960" w14:paraId="593E1D51" w14:textId="77777777" w:rsidTr="00867275">
        <w:trPr>
          <w:trHeight w:val="206"/>
          <w:jc w:val="center"/>
        </w:trPr>
        <w:tc>
          <w:tcPr>
            <w:tcW w:w="2518" w:type="dxa"/>
            <w:vMerge/>
            <w:shd w:val="clear" w:color="auto" w:fill="auto"/>
          </w:tcPr>
          <w:p w14:paraId="1C3FEFD7" w14:textId="77777777" w:rsidR="00AB25A1" w:rsidRPr="002C5960" w:rsidRDefault="00AB25A1" w:rsidP="00867275">
            <w:pPr>
              <w:rPr>
                <w:sz w:val="24"/>
                <w:szCs w:val="24"/>
              </w:rPr>
            </w:pPr>
          </w:p>
        </w:tc>
        <w:tc>
          <w:tcPr>
            <w:tcW w:w="6804" w:type="dxa"/>
            <w:shd w:val="clear" w:color="auto" w:fill="auto"/>
            <w:vAlign w:val="center"/>
          </w:tcPr>
          <w:p w14:paraId="5BE0C6F9" w14:textId="77777777" w:rsidR="00AB25A1" w:rsidRPr="002C5960" w:rsidRDefault="00AB25A1" w:rsidP="00867275">
            <w:pPr>
              <w:jc w:val="both"/>
              <w:rPr>
                <w:sz w:val="24"/>
                <w:szCs w:val="24"/>
              </w:rPr>
            </w:pPr>
            <w:r w:rsidRPr="002C5960">
              <w:rPr>
                <w:sz w:val="24"/>
                <w:szCs w:val="24"/>
              </w:rPr>
              <w:t>ОРН7. Досліджувати метрологічні характеристики інформаційно-вимірювальних комплексів та  окремих засобів вимірювання</w:t>
            </w:r>
          </w:p>
        </w:tc>
      </w:tr>
      <w:tr w:rsidR="002C5960" w:rsidRPr="002C5960" w14:paraId="0AFC12AC" w14:textId="77777777" w:rsidTr="00867275">
        <w:trPr>
          <w:trHeight w:val="206"/>
          <w:jc w:val="center"/>
        </w:trPr>
        <w:tc>
          <w:tcPr>
            <w:tcW w:w="2518" w:type="dxa"/>
            <w:vMerge/>
            <w:shd w:val="clear" w:color="auto" w:fill="auto"/>
          </w:tcPr>
          <w:p w14:paraId="3EF7849E" w14:textId="77777777" w:rsidR="00AB25A1" w:rsidRPr="002C5960" w:rsidRDefault="00AB25A1" w:rsidP="00867275">
            <w:pPr>
              <w:rPr>
                <w:sz w:val="24"/>
                <w:szCs w:val="24"/>
              </w:rPr>
            </w:pPr>
          </w:p>
        </w:tc>
        <w:tc>
          <w:tcPr>
            <w:tcW w:w="6804" w:type="dxa"/>
            <w:shd w:val="clear" w:color="auto" w:fill="auto"/>
            <w:vAlign w:val="center"/>
          </w:tcPr>
          <w:p w14:paraId="38A77339" w14:textId="77777777" w:rsidR="00AB25A1" w:rsidRPr="002C5960" w:rsidRDefault="00AB25A1" w:rsidP="00867275">
            <w:pPr>
              <w:jc w:val="both"/>
              <w:rPr>
                <w:sz w:val="24"/>
                <w:szCs w:val="24"/>
              </w:rPr>
            </w:pPr>
            <w:r w:rsidRPr="002C5960">
              <w:rPr>
                <w:sz w:val="24"/>
                <w:szCs w:val="24"/>
              </w:rPr>
              <w:t xml:space="preserve">ОРН8. </w:t>
            </w:r>
            <w:r w:rsidRPr="002C5960">
              <w:rPr>
                <w:sz w:val="24"/>
                <w:szCs w:val="24"/>
                <w:lang w:eastAsia="en-US"/>
              </w:rPr>
              <w:t>Здійснювати вимірювання,  зчитувати, обробляти, документувати та передавати вимірювальну інформацію</w:t>
            </w:r>
          </w:p>
        </w:tc>
      </w:tr>
      <w:tr w:rsidR="002C5960" w:rsidRPr="002C5960" w14:paraId="3C8B7204" w14:textId="77777777" w:rsidTr="00867275">
        <w:trPr>
          <w:trHeight w:val="206"/>
          <w:jc w:val="center"/>
        </w:trPr>
        <w:tc>
          <w:tcPr>
            <w:tcW w:w="2518" w:type="dxa"/>
            <w:vMerge/>
            <w:shd w:val="clear" w:color="auto" w:fill="auto"/>
          </w:tcPr>
          <w:p w14:paraId="03651679" w14:textId="77777777" w:rsidR="00AB25A1" w:rsidRPr="002C5960" w:rsidRDefault="00AB25A1" w:rsidP="00867275">
            <w:pPr>
              <w:rPr>
                <w:sz w:val="24"/>
                <w:szCs w:val="24"/>
              </w:rPr>
            </w:pPr>
          </w:p>
        </w:tc>
        <w:tc>
          <w:tcPr>
            <w:tcW w:w="6804" w:type="dxa"/>
            <w:shd w:val="clear" w:color="auto" w:fill="auto"/>
            <w:vAlign w:val="center"/>
          </w:tcPr>
          <w:p w14:paraId="581BC618" w14:textId="77777777" w:rsidR="00AB25A1" w:rsidRPr="002C5960" w:rsidRDefault="00AB25A1" w:rsidP="00E17DE5">
            <w:pPr>
              <w:jc w:val="both"/>
              <w:rPr>
                <w:sz w:val="24"/>
                <w:szCs w:val="24"/>
              </w:rPr>
            </w:pPr>
            <w:r w:rsidRPr="002C5960">
              <w:rPr>
                <w:sz w:val="24"/>
                <w:szCs w:val="24"/>
              </w:rPr>
              <w:t>ОРН</w:t>
            </w:r>
            <w:r w:rsidR="00E17DE5" w:rsidRPr="001B0AB3">
              <w:rPr>
                <w:sz w:val="24"/>
                <w:szCs w:val="24"/>
                <w:lang w:val="ru-RU"/>
              </w:rPr>
              <w:t>9</w:t>
            </w:r>
            <w:r w:rsidRPr="002C5960">
              <w:rPr>
                <w:sz w:val="24"/>
                <w:szCs w:val="24"/>
              </w:rPr>
              <w:t>. Вибирати застосовні засоби вимірювань згідно поставленої технічної задачі</w:t>
            </w:r>
          </w:p>
        </w:tc>
      </w:tr>
      <w:tr w:rsidR="002C5960" w:rsidRPr="002C5960" w14:paraId="32A7D5A4" w14:textId="77777777" w:rsidTr="00867275">
        <w:trPr>
          <w:trHeight w:val="206"/>
          <w:jc w:val="center"/>
        </w:trPr>
        <w:tc>
          <w:tcPr>
            <w:tcW w:w="2518" w:type="dxa"/>
            <w:vMerge/>
            <w:shd w:val="clear" w:color="auto" w:fill="auto"/>
          </w:tcPr>
          <w:p w14:paraId="4CA1E17D" w14:textId="77777777" w:rsidR="00AB25A1" w:rsidRPr="002C5960" w:rsidRDefault="00AB25A1" w:rsidP="00867275">
            <w:pPr>
              <w:rPr>
                <w:sz w:val="24"/>
                <w:szCs w:val="24"/>
              </w:rPr>
            </w:pPr>
          </w:p>
        </w:tc>
        <w:tc>
          <w:tcPr>
            <w:tcW w:w="6804" w:type="dxa"/>
            <w:shd w:val="clear" w:color="auto" w:fill="auto"/>
            <w:vAlign w:val="center"/>
          </w:tcPr>
          <w:p w14:paraId="795450AC" w14:textId="77777777" w:rsidR="00AB25A1" w:rsidRPr="002C5960" w:rsidRDefault="00AB25A1" w:rsidP="00E17DE5">
            <w:pPr>
              <w:jc w:val="both"/>
              <w:rPr>
                <w:sz w:val="24"/>
                <w:szCs w:val="24"/>
              </w:rPr>
            </w:pPr>
            <w:r w:rsidRPr="002C5960">
              <w:rPr>
                <w:sz w:val="24"/>
                <w:szCs w:val="24"/>
              </w:rPr>
              <w:t>ОРН1</w:t>
            </w:r>
            <w:r w:rsidR="00E17DE5" w:rsidRPr="001B0AB3">
              <w:rPr>
                <w:sz w:val="24"/>
                <w:szCs w:val="24"/>
                <w:lang w:val="ru-RU"/>
              </w:rPr>
              <w:t>0</w:t>
            </w:r>
            <w:r w:rsidRPr="002C5960">
              <w:rPr>
                <w:sz w:val="24"/>
                <w:szCs w:val="24"/>
              </w:rPr>
              <w:t>. Визначати та забезпечувати адекватне використання інформаційно-вимірювальних комплексів та окремих засобів вимірювання</w:t>
            </w:r>
          </w:p>
        </w:tc>
      </w:tr>
      <w:tr w:rsidR="002C5960" w:rsidRPr="002C5960" w14:paraId="64E6ED19" w14:textId="77777777" w:rsidTr="00926588">
        <w:trPr>
          <w:trHeight w:val="206"/>
          <w:jc w:val="center"/>
        </w:trPr>
        <w:tc>
          <w:tcPr>
            <w:tcW w:w="2518" w:type="dxa"/>
            <w:shd w:val="clear" w:color="auto" w:fill="auto"/>
          </w:tcPr>
          <w:p w14:paraId="352E6513" w14:textId="77777777" w:rsidR="00DB4A35" w:rsidRPr="002C5960" w:rsidRDefault="00DB4A35" w:rsidP="00DB4A35">
            <w:pPr>
              <w:rPr>
                <w:b/>
                <w:sz w:val="22"/>
                <w:szCs w:val="22"/>
              </w:rPr>
            </w:pPr>
            <w:r w:rsidRPr="002C5960">
              <w:rPr>
                <w:b/>
                <w:sz w:val="22"/>
                <w:szCs w:val="22"/>
              </w:rPr>
              <w:t>Зміст дисципліни</w:t>
            </w:r>
          </w:p>
        </w:tc>
        <w:tc>
          <w:tcPr>
            <w:tcW w:w="6804" w:type="dxa"/>
            <w:shd w:val="clear" w:color="auto" w:fill="auto"/>
          </w:tcPr>
          <w:p w14:paraId="4FE864DD" w14:textId="77777777" w:rsidR="00DB4A35" w:rsidRPr="002C5960" w:rsidRDefault="00DB4A35" w:rsidP="00DB4A35">
            <w:pPr>
              <w:pStyle w:val="Default"/>
              <w:rPr>
                <w:color w:val="auto"/>
                <w:lang w:val="uk-UA"/>
              </w:rPr>
            </w:pPr>
            <w:r w:rsidRPr="002C5960">
              <w:rPr>
                <w:color w:val="auto"/>
                <w:lang w:val="uk-UA"/>
              </w:rPr>
              <w:t>Розділ 1. Загальна характеристика об’єктів і процесу вимірювань</w:t>
            </w:r>
          </w:p>
          <w:p w14:paraId="21725FC2" w14:textId="77777777" w:rsidR="00DB4A35" w:rsidRPr="002C5960" w:rsidRDefault="00DB4A35" w:rsidP="00DB4A35">
            <w:pPr>
              <w:pStyle w:val="Default"/>
              <w:rPr>
                <w:color w:val="auto"/>
                <w:lang w:val="uk-UA"/>
              </w:rPr>
            </w:pPr>
            <w:r w:rsidRPr="002C5960">
              <w:rPr>
                <w:color w:val="auto"/>
                <w:lang w:val="uk-UA"/>
              </w:rPr>
              <w:t>Розділ 2. Загальна характеристика засобів вимірювань</w:t>
            </w:r>
          </w:p>
          <w:p w14:paraId="3BD0576A" w14:textId="77777777" w:rsidR="00DB4A35" w:rsidRPr="002C5960" w:rsidRDefault="00DB4A35" w:rsidP="00DB4A35">
            <w:pPr>
              <w:pStyle w:val="Default"/>
              <w:rPr>
                <w:color w:val="auto"/>
                <w:lang w:val="uk-UA"/>
              </w:rPr>
            </w:pPr>
            <w:r w:rsidRPr="002C5960">
              <w:rPr>
                <w:color w:val="auto"/>
                <w:lang w:val="uk-UA"/>
              </w:rPr>
              <w:t>Розділ 3. Метрологічні характеристики вимірювальних приладів</w:t>
            </w:r>
          </w:p>
          <w:p w14:paraId="42B6515A" w14:textId="77777777" w:rsidR="00DB4A35" w:rsidRPr="002C5960" w:rsidRDefault="00DB4A35" w:rsidP="00DB4A35">
            <w:pPr>
              <w:pStyle w:val="Default"/>
              <w:rPr>
                <w:color w:val="auto"/>
                <w:lang w:val="uk-UA"/>
              </w:rPr>
            </w:pPr>
            <w:r w:rsidRPr="002C5960">
              <w:rPr>
                <w:color w:val="auto"/>
                <w:lang w:val="uk-UA"/>
              </w:rPr>
              <w:t>Розділ 4. Елементарні засоби вимірювань фізичних величин</w:t>
            </w:r>
          </w:p>
          <w:p w14:paraId="675BCD59" w14:textId="77777777" w:rsidR="00DB4A35" w:rsidRPr="002C5960" w:rsidRDefault="00DB4A35" w:rsidP="00DB4A35">
            <w:pPr>
              <w:pStyle w:val="Default"/>
              <w:rPr>
                <w:color w:val="auto"/>
                <w:lang w:val="uk-UA"/>
              </w:rPr>
            </w:pPr>
            <w:r w:rsidRPr="002C5960">
              <w:rPr>
                <w:color w:val="auto"/>
                <w:lang w:val="uk-UA"/>
              </w:rPr>
              <w:t>Розділ 5. Універсальні засоби вимірювань геометричних величин</w:t>
            </w:r>
          </w:p>
          <w:p w14:paraId="47E1BF80" w14:textId="77777777" w:rsidR="00DB4A35" w:rsidRPr="002C5960" w:rsidRDefault="00DB4A35" w:rsidP="00DB4A35">
            <w:pPr>
              <w:pStyle w:val="Default"/>
              <w:rPr>
                <w:color w:val="auto"/>
                <w:lang w:val="uk-UA"/>
              </w:rPr>
            </w:pPr>
            <w:r w:rsidRPr="002C5960">
              <w:rPr>
                <w:color w:val="auto"/>
                <w:lang w:val="uk-UA"/>
              </w:rPr>
              <w:t>Розділ 6. Універсальні засоби вимірювань маси (сили)</w:t>
            </w:r>
          </w:p>
          <w:p w14:paraId="3A7C681E" w14:textId="77777777" w:rsidR="00DB4A35" w:rsidRPr="002C5960" w:rsidRDefault="00DB4A35" w:rsidP="00DB4A35">
            <w:pPr>
              <w:pStyle w:val="Default"/>
              <w:rPr>
                <w:color w:val="auto"/>
                <w:lang w:val="uk-UA"/>
              </w:rPr>
            </w:pPr>
            <w:r w:rsidRPr="002C5960">
              <w:rPr>
                <w:color w:val="auto"/>
                <w:lang w:val="uk-UA"/>
              </w:rPr>
              <w:t>Розділ 7. Універсальні та спеціалізовані засоби вимірювань властивостей речовин</w:t>
            </w:r>
          </w:p>
          <w:p w14:paraId="51B31FD6" w14:textId="77777777" w:rsidR="00DB4A35" w:rsidRPr="002C5960" w:rsidRDefault="00DB4A35" w:rsidP="00DB4A35">
            <w:pPr>
              <w:pStyle w:val="Default"/>
              <w:rPr>
                <w:color w:val="auto"/>
                <w:lang w:val="uk-UA"/>
              </w:rPr>
            </w:pPr>
            <w:r w:rsidRPr="002C5960">
              <w:rPr>
                <w:color w:val="auto"/>
                <w:lang w:val="uk-UA"/>
              </w:rPr>
              <w:t>Розділ 8. Вимірювання оптичних величин</w:t>
            </w:r>
          </w:p>
          <w:p w14:paraId="2D5AD395" w14:textId="692464A9" w:rsidR="00DB4A35" w:rsidRPr="002C5960" w:rsidRDefault="00DB4A35" w:rsidP="00DB4A35">
            <w:pPr>
              <w:pStyle w:val="Default"/>
              <w:rPr>
                <w:color w:val="auto"/>
                <w:lang w:val="uk-UA"/>
              </w:rPr>
            </w:pPr>
            <w:r w:rsidRPr="002C5960">
              <w:rPr>
                <w:color w:val="auto"/>
                <w:lang w:val="uk-UA"/>
              </w:rPr>
              <w:t>Розділ 9. Універсальні засоби вимірювань неелектричних енергетичних величин</w:t>
            </w:r>
          </w:p>
          <w:p w14:paraId="4453FB92" w14:textId="5FAB5B4D" w:rsidR="00DB4A35" w:rsidRPr="002C5960" w:rsidRDefault="00DB4A35" w:rsidP="00E17DE5">
            <w:pPr>
              <w:pStyle w:val="Default"/>
              <w:rPr>
                <w:color w:val="auto"/>
                <w:lang w:val="uk-UA"/>
              </w:rPr>
            </w:pPr>
            <w:r w:rsidRPr="002C5960">
              <w:rPr>
                <w:color w:val="auto"/>
                <w:lang w:val="uk-UA"/>
              </w:rPr>
              <w:t>Розділ 1</w:t>
            </w:r>
            <w:r w:rsidR="00BA620E">
              <w:rPr>
                <w:color w:val="auto"/>
                <w:lang w:val="uk-UA"/>
              </w:rPr>
              <w:t>0</w:t>
            </w:r>
            <w:r w:rsidRPr="002C5960">
              <w:rPr>
                <w:color w:val="auto"/>
                <w:lang w:val="uk-UA"/>
              </w:rPr>
              <w:t>. Універсальні засоби вимірювань електричних величин</w:t>
            </w:r>
          </w:p>
        </w:tc>
      </w:tr>
      <w:tr w:rsidR="002C5960" w:rsidRPr="002C5960" w14:paraId="2FE99D98" w14:textId="77777777" w:rsidTr="00926588">
        <w:trPr>
          <w:trHeight w:val="206"/>
          <w:jc w:val="center"/>
        </w:trPr>
        <w:tc>
          <w:tcPr>
            <w:tcW w:w="2518" w:type="dxa"/>
            <w:shd w:val="clear" w:color="auto" w:fill="auto"/>
          </w:tcPr>
          <w:p w14:paraId="0A22C8DA" w14:textId="77777777" w:rsidR="00C665CD" w:rsidRPr="002C5960" w:rsidRDefault="00C665CD" w:rsidP="00C665CD">
            <w:pPr>
              <w:rPr>
                <w:b/>
                <w:sz w:val="22"/>
                <w:szCs w:val="22"/>
              </w:rPr>
            </w:pPr>
            <w:r w:rsidRPr="002C5960">
              <w:rPr>
                <w:b/>
                <w:sz w:val="22"/>
                <w:szCs w:val="22"/>
              </w:rPr>
              <w:t>Контрольні  заходи та критерії оцінювання</w:t>
            </w:r>
          </w:p>
        </w:tc>
        <w:tc>
          <w:tcPr>
            <w:tcW w:w="6804" w:type="dxa"/>
            <w:shd w:val="clear" w:color="auto" w:fill="auto"/>
          </w:tcPr>
          <w:p w14:paraId="738014D4" w14:textId="77777777" w:rsidR="006955DC" w:rsidRPr="002C5960" w:rsidRDefault="00D61001" w:rsidP="006955DC">
            <w:pPr>
              <w:pStyle w:val="Default"/>
              <w:jc w:val="both"/>
              <w:rPr>
                <w:iCs/>
                <w:color w:val="auto"/>
                <w:lang w:val="uk-UA"/>
              </w:rPr>
            </w:pPr>
            <w:r w:rsidRPr="002C5960">
              <w:rPr>
                <w:iCs/>
                <w:color w:val="auto"/>
              </w:rPr>
              <w:t xml:space="preserve">        </w:t>
            </w:r>
            <w:r w:rsidR="006955DC" w:rsidRPr="002C5960">
              <w:rPr>
                <w:iCs/>
                <w:color w:val="auto"/>
                <w:lang w:val="uk-UA"/>
              </w:rPr>
              <w:t>Оцінки з кожного розділу визначаються за прийнятою шкалою згідно із затвердженими  критеріями за результатами таких контрольних заходів:</w:t>
            </w:r>
          </w:p>
          <w:p w14:paraId="225C3341" w14:textId="77777777" w:rsidR="00BA620E" w:rsidRPr="00BA620E" w:rsidRDefault="00BA620E" w:rsidP="00BA620E">
            <w:pPr>
              <w:pStyle w:val="Default"/>
              <w:ind w:firstLine="709"/>
              <w:jc w:val="both"/>
              <w:rPr>
                <w:iCs/>
                <w:color w:val="auto"/>
                <w:lang w:val="uk-UA"/>
              </w:rPr>
            </w:pPr>
            <w:r w:rsidRPr="00BA620E">
              <w:rPr>
                <w:color w:val="auto"/>
                <w:lang w:val="uk-UA"/>
              </w:rPr>
              <w:t>– оцінки РО1, РО2, РО3, РО4 та РО5 з розділів</w:t>
            </w:r>
            <w:r w:rsidRPr="00BA620E">
              <w:rPr>
                <w:iCs/>
                <w:color w:val="auto"/>
                <w:lang w:val="uk-UA"/>
              </w:rPr>
              <w:t xml:space="preserve"> 1, 2, 3, 4 та 5 відповідно </w:t>
            </w:r>
            <w:r w:rsidRPr="00BA620E">
              <w:rPr>
                <w:color w:val="auto"/>
                <w:lang w:val="uk-UA"/>
              </w:rPr>
              <w:t>– за результатами письмової контрольної роботи</w:t>
            </w:r>
            <w:r w:rsidRPr="00BA620E">
              <w:rPr>
                <w:iCs/>
                <w:color w:val="auto"/>
                <w:lang w:val="uk-UA"/>
              </w:rPr>
              <w:t xml:space="preserve"> у тестовій формі (РК1);</w:t>
            </w:r>
          </w:p>
          <w:p w14:paraId="46270B6C" w14:textId="77777777" w:rsidR="00BA620E" w:rsidRPr="00BA620E" w:rsidRDefault="00BA620E" w:rsidP="00BA620E">
            <w:pPr>
              <w:pStyle w:val="Default"/>
              <w:ind w:firstLine="709"/>
              <w:jc w:val="both"/>
              <w:rPr>
                <w:iCs/>
                <w:color w:val="auto"/>
                <w:lang w:val="uk-UA"/>
              </w:rPr>
            </w:pPr>
            <w:r w:rsidRPr="00BA620E">
              <w:rPr>
                <w:color w:val="auto"/>
                <w:lang w:val="uk-UA"/>
              </w:rPr>
              <w:t>– оцінки РО6, РО7, РО8, РО9 та РО10 з розді</w:t>
            </w:r>
            <w:r w:rsidRPr="00BA620E">
              <w:rPr>
                <w:iCs/>
                <w:color w:val="auto"/>
                <w:lang w:val="uk-UA"/>
              </w:rPr>
              <w:t xml:space="preserve">лів 6, 7, 8, 9 та 10 відповідно </w:t>
            </w:r>
            <w:r w:rsidRPr="00BA620E">
              <w:rPr>
                <w:color w:val="auto"/>
                <w:lang w:val="uk-UA"/>
              </w:rPr>
              <w:t>– за результатами письмової контрольної роботи</w:t>
            </w:r>
            <w:r w:rsidRPr="00BA620E">
              <w:rPr>
                <w:iCs/>
                <w:color w:val="auto"/>
                <w:lang w:val="uk-UA"/>
              </w:rPr>
              <w:t xml:space="preserve"> у тестовій формі та за результатами захисту Курсової роботи (РК2).</w:t>
            </w:r>
          </w:p>
          <w:p w14:paraId="7B7C27C1" w14:textId="40232B89" w:rsidR="006955DC" w:rsidRPr="00BA620E" w:rsidRDefault="006955DC" w:rsidP="00BA620E">
            <w:pPr>
              <w:pStyle w:val="Default"/>
              <w:ind w:firstLine="709"/>
              <w:jc w:val="both"/>
              <w:rPr>
                <w:iCs/>
                <w:color w:val="auto"/>
                <w:lang w:val="uk-UA"/>
              </w:rPr>
            </w:pPr>
            <w:r w:rsidRPr="00BA620E">
              <w:rPr>
                <w:iCs/>
                <w:color w:val="auto"/>
                <w:lang w:val="uk-UA"/>
              </w:rPr>
              <w:t xml:space="preserve">Формою семестрового контролю з дисципліни є диференційований залік. </w:t>
            </w:r>
          </w:p>
          <w:p w14:paraId="534C9342" w14:textId="77777777" w:rsidR="00BA620E" w:rsidRPr="00BA620E" w:rsidRDefault="00BA620E" w:rsidP="00BA620E">
            <w:pPr>
              <w:pStyle w:val="Default"/>
              <w:ind w:firstLine="709"/>
              <w:jc w:val="both"/>
              <w:rPr>
                <w:iCs/>
                <w:color w:val="auto"/>
                <w:lang w:val="uk-UA"/>
              </w:rPr>
            </w:pPr>
            <w:r w:rsidRPr="00BA620E">
              <w:rPr>
                <w:iCs/>
                <w:color w:val="auto"/>
                <w:lang w:val="uk-UA"/>
              </w:rPr>
              <w:lastRenderedPageBreak/>
              <w:t xml:space="preserve">Оцінка С1 формується за результатами контрольних робіт РК1 та РК2 за прийнятою шкалою як середнє арифметичне оцінок РО1, РО2, РО3, РО4, РО5, РО6, РО7, РО8, РО9, РО10 та за результатами захисту Курсової роботи з округленням до найближчого цілого числа. </w:t>
            </w:r>
          </w:p>
          <w:p w14:paraId="34A95E69" w14:textId="78F5E381" w:rsidR="006955DC" w:rsidRPr="002C5960" w:rsidRDefault="006955DC" w:rsidP="006955DC">
            <w:pPr>
              <w:pStyle w:val="Default"/>
              <w:ind w:firstLine="709"/>
              <w:jc w:val="both"/>
              <w:rPr>
                <w:iCs/>
                <w:color w:val="auto"/>
                <w:lang w:val="uk-UA"/>
              </w:rPr>
            </w:pPr>
            <w:r w:rsidRPr="002C5960">
              <w:rPr>
                <w:iCs/>
                <w:color w:val="auto"/>
                <w:lang w:val="uk-UA"/>
              </w:rPr>
              <w:t>Необхідною умовою отримання позитивної оцінки з розділів 1, 2, 3, 4, 5, 6, 7, 8, 9</w:t>
            </w:r>
            <w:r w:rsidR="00BA620E">
              <w:rPr>
                <w:iCs/>
                <w:color w:val="auto"/>
                <w:lang w:val="uk-UA"/>
              </w:rPr>
              <w:t xml:space="preserve"> </w:t>
            </w:r>
            <w:r w:rsidRPr="002C5960">
              <w:rPr>
                <w:iCs/>
                <w:color w:val="auto"/>
                <w:lang w:val="uk-UA"/>
              </w:rPr>
              <w:t>та 1</w:t>
            </w:r>
            <w:r w:rsidR="00BA620E">
              <w:rPr>
                <w:iCs/>
                <w:color w:val="auto"/>
                <w:lang w:val="uk-UA"/>
              </w:rPr>
              <w:t>0</w:t>
            </w:r>
            <w:r w:rsidRPr="002C5960">
              <w:rPr>
                <w:iCs/>
                <w:color w:val="auto"/>
                <w:lang w:val="uk-UA"/>
              </w:rPr>
              <w:t xml:space="preserve"> є відпрацювання та надання звіту з усіх практичних, лабораторних робіт та індивідуального завдання (останнє - для студентів заочної форми навчання) відповідного розділу.  </w:t>
            </w:r>
          </w:p>
          <w:p w14:paraId="6097C353" w14:textId="77777777" w:rsidR="006955DC" w:rsidRPr="002C5960" w:rsidRDefault="006955DC" w:rsidP="006955DC">
            <w:pPr>
              <w:pStyle w:val="Default"/>
              <w:ind w:firstLine="709"/>
              <w:jc w:val="both"/>
              <w:rPr>
                <w:iCs/>
                <w:color w:val="auto"/>
                <w:lang w:val="uk-UA"/>
              </w:rPr>
            </w:pPr>
            <w:r w:rsidRPr="002C5960">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14:paraId="392D378C" w14:textId="77777777" w:rsidR="006955DC" w:rsidRPr="002C5960" w:rsidRDefault="006955DC" w:rsidP="006955DC">
            <w:pPr>
              <w:pStyle w:val="Default"/>
              <w:ind w:firstLine="709"/>
              <w:jc w:val="both"/>
              <w:rPr>
                <w:i/>
                <w:iCs/>
                <w:color w:val="auto"/>
                <w:lang w:val="uk-UA"/>
              </w:rPr>
            </w:pPr>
            <w:r w:rsidRPr="002C5960">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2C5960">
              <w:rPr>
                <w:i/>
                <w:iCs/>
                <w:color w:val="auto"/>
                <w:lang w:val="uk-UA"/>
              </w:rPr>
              <w:t>.</w:t>
            </w:r>
          </w:p>
          <w:p w14:paraId="47EB7B65" w14:textId="0C25B36B" w:rsidR="00C665CD" w:rsidRPr="002C5960" w:rsidRDefault="006955DC" w:rsidP="00BA620E">
            <w:pPr>
              <w:pStyle w:val="Default"/>
              <w:ind w:firstLine="709"/>
              <w:jc w:val="both"/>
              <w:rPr>
                <w:color w:val="auto"/>
                <w:lang w:val="uk-UA"/>
              </w:rPr>
            </w:pPr>
            <w:r w:rsidRPr="002C5960">
              <w:rPr>
                <w:iCs/>
                <w:color w:val="auto"/>
                <w:lang w:val="uk-UA"/>
              </w:rPr>
              <w:t>Підсумкова оцінка з навчальної дисципліни формуються як середнє арифметичне визначених за прийнятою шкалою усіх оцінок з розділів з округленням до цілого числа.</w:t>
            </w:r>
          </w:p>
        </w:tc>
      </w:tr>
      <w:tr w:rsidR="002C5960" w:rsidRPr="002C5960" w14:paraId="22247F95" w14:textId="77777777" w:rsidTr="00926588">
        <w:trPr>
          <w:trHeight w:val="206"/>
          <w:jc w:val="center"/>
        </w:trPr>
        <w:tc>
          <w:tcPr>
            <w:tcW w:w="2518" w:type="dxa"/>
            <w:shd w:val="clear" w:color="auto" w:fill="auto"/>
          </w:tcPr>
          <w:p w14:paraId="304FAA22" w14:textId="77777777" w:rsidR="00C665CD" w:rsidRPr="002C5960" w:rsidRDefault="00C665CD" w:rsidP="00C665CD">
            <w:pPr>
              <w:rPr>
                <w:b/>
                <w:sz w:val="22"/>
                <w:szCs w:val="22"/>
              </w:rPr>
            </w:pPr>
            <w:r w:rsidRPr="002C5960">
              <w:rPr>
                <w:b/>
                <w:sz w:val="22"/>
                <w:szCs w:val="22"/>
              </w:rPr>
              <w:lastRenderedPageBreak/>
              <w:t>Політика викладання</w:t>
            </w:r>
          </w:p>
        </w:tc>
        <w:tc>
          <w:tcPr>
            <w:tcW w:w="6804" w:type="dxa"/>
            <w:shd w:val="clear" w:color="auto" w:fill="auto"/>
          </w:tcPr>
          <w:p w14:paraId="7B3EB2FD" w14:textId="77777777" w:rsidR="00C665CD" w:rsidRPr="002C5960" w:rsidRDefault="00D61001" w:rsidP="00C665CD">
            <w:pPr>
              <w:pStyle w:val="Default"/>
              <w:ind w:firstLine="193"/>
              <w:jc w:val="both"/>
              <w:rPr>
                <w:color w:val="auto"/>
                <w:lang w:val="uk-UA"/>
              </w:rPr>
            </w:pPr>
            <w:r w:rsidRPr="002C5960">
              <w:rPr>
                <w:color w:val="auto"/>
              </w:rPr>
              <w:t xml:space="preserve">    </w:t>
            </w:r>
            <w:r w:rsidR="00C665CD" w:rsidRPr="002C5960">
              <w:rPr>
                <w:color w:val="auto"/>
                <w:lang w:val="uk-UA"/>
              </w:rPr>
              <w:t xml:space="preserve">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14:paraId="2F658F8B" w14:textId="77777777" w:rsidR="00C665CD" w:rsidRPr="002C5960" w:rsidRDefault="00C665CD" w:rsidP="00C665CD">
            <w:pPr>
              <w:pStyle w:val="Default"/>
              <w:ind w:firstLine="193"/>
              <w:jc w:val="both"/>
              <w:rPr>
                <w:color w:val="auto"/>
                <w:lang w:val="uk-UA"/>
              </w:rPr>
            </w:pPr>
            <w:r w:rsidRPr="002C5960">
              <w:rPr>
                <w:color w:val="auto"/>
                <w:lang w:val="uk-UA"/>
              </w:rPr>
              <w:t>Здобувач не допускається до підсумкового контролю за відсутності позитивної оцінки хоча б з одного із розділів.</w:t>
            </w:r>
          </w:p>
          <w:p w14:paraId="6640963E" w14:textId="77777777" w:rsidR="00C665CD" w:rsidRPr="002C5960" w:rsidRDefault="00C665CD" w:rsidP="00C665CD">
            <w:pPr>
              <w:pStyle w:val="Default"/>
              <w:ind w:firstLine="193"/>
              <w:jc w:val="both"/>
              <w:rPr>
                <w:color w:val="auto"/>
                <w:lang w:val="uk-UA"/>
              </w:rPr>
            </w:pPr>
            <w:r w:rsidRPr="002C5960">
              <w:rPr>
                <w:color w:val="auto"/>
                <w:lang w:val="uk-UA"/>
              </w:rPr>
              <w:t>Оскарження процедури та результатів оцінювання розділів та  підсумкового оцінювання з боку здобувачів освіти здійснюється у порядку, передбаченому «Положенням про організацію освітнього процесу в УДУНТ».</w:t>
            </w:r>
          </w:p>
          <w:p w14:paraId="56D0C50E" w14:textId="77777777" w:rsidR="00C665CD" w:rsidRPr="002C5960" w:rsidRDefault="00C665CD" w:rsidP="00C665CD">
            <w:pPr>
              <w:pStyle w:val="Default"/>
              <w:ind w:firstLine="193"/>
              <w:jc w:val="both"/>
              <w:rPr>
                <w:color w:val="auto"/>
                <w:lang w:val="uk-UA"/>
              </w:rPr>
            </w:pPr>
            <w:r w:rsidRPr="002C5960">
              <w:rPr>
                <w:color w:val="auto"/>
                <w:lang w:val="uk-UA"/>
              </w:rPr>
              <w:t>Порушення академічної доброчесності з боку здобувачів освіти, які, зокрема, можуть полягати у користуванні сторонніми джерелами інформації на контрольних заходах, фальсифікації або фабрикації результатів досліджень, що виконувались на практичних заняттях, тягнуть відповідальність у вигляді повторного виконання сфальсифікованої роботи та повторного проходження процедури оцінювання.</w:t>
            </w:r>
          </w:p>
        </w:tc>
      </w:tr>
      <w:tr w:rsidR="002C5960" w:rsidRPr="002C5960" w14:paraId="2101CB8C" w14:textId="77777777" w:rsidTr="00926588">
        <w:trPr>
          <w:trHeight w:val="206"/>
          <w:jc w:val="center"/>
        </w:trPr>
        <w:tc>
          <w:tcPr>
            <w:tcW w:w="2518" w:type="dxa"/>
            <w:shd w:val="clear" w:color="auto" w:fill="auto"/>
          </w:tcPr>
          <w:p w14:paraId="6D3F3445" w14:textId="77777777" w:rsidR="00C665CD" w:rsidRPr="002C5960" w:rsidRDefault="00C665CD" w:rsidP="00C665CD">
            <w:pPr>
              <w:rPr>
                <w:b/>
                <w:sz w:val="22"/>
                <w:szCs w:val="22"/>
              </w:rPr>
            </w:pPr>
            <w:r w:rsidRPr="002C5960">
              <w:rPr>
                <w:b/>
                <w:sz w:val="22"/>
                <w:szCs w:val="22"/>
              </w:rPr>
              <w:t>Засоби навчання</w:t>
            </w:r>
          </w:p>
        </w:tc>
        <w:tc>
          <w:tcPr>
            <w:tcW w:w="6804" w:type="dxa"/>
            <w:shd w:val="clear" w:color="auto" w:fill="auto"/>
          </w:tcPr>
          <w:p w14:paraId="2CC51D4D" w14:textId="77777777" w:rsidR="00C665CD" w:rsidRPr="002C5960" w:rsidRDefault="00C665CD" w:rsidP="00C665CD">
            <w:pPr>
              <w:jc w:val="both"/>
            </w:pPr>
            <w:r w:rsidRPr="002C5960">
              <w:rPr>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практичних, лабораторних робіт та виконання курсової роботи, прикладного програмного забезпечення для підтримки </w:t>
            </w:r>
            <w:r w:rsidRPr="002C5960">
              <w:rPr>
                <w:iCs/>
                <w:sz w:val="24"/>
                <w:szCs w:val="24"/>
              </w:rPr>
              <w:t xml:space="preserve">дистанційного навчання: </w:t>
            </w:r>
            <w:r w:rsidRPr="002C5960">
              <w:rPr>
                <w:iCs/>
                <w:sz w:val="24"/>
                <w:szCs w:val="24"/>
                <w:lang w:val="en-US"/>
              </w:rPr>
              <w:t>ZOOM</w:t>
            </w:r>
            <w:r w:rsidRPr="002C5960">
              <w:rPr>
                <w:iCs/>
                <w:sz w:val="24"/>
                <w:szCs w:val="24"/>
              </w:rPr>
              <w:t xml:space="preserve">, </w:t>
            </w:r>
            <w:r w:rsidRPr="002C5960">
              <w:rPr>
                <w:iCs/>
                <w:sz w:val="24"/>
                <w:szCs w:val="24"/>
                <w:lang w:val="en-US"/>
              </w:rPr>
              <w:t>Google</w:t>
            </w:r>
            <w:r w:rsidRPr="002C5960">
              <w:rPr>
                <w:iCs/>
                <w:sz w:val="24"/>
                <w:szCs w:val="24"/>
              </w:rPr>
              <w:t xml:space="preserve"> </w:t>
            </w:r>
            <w:r w:rsidRPr="002C5960">
              <w:rPr>
                <w:iCs/>
                <w:sz w:val="24"/>
                <w:szCs w:val="24"/>
                <w:lang w:val="en-US"/>
              </w:rPr>
              <w:t>Class</w:t>
            </w:r>
            <w:r w:rsidRPr="002C5960">
              <w:rPr>
                <w:iCs/>
                <w:sz w:val="24"/>
                <w:szCs w:val="24"/>
              </w:rPr>
              <w:t xml:space="preserve"> тощо.</w:t>
            </w:r>
          </w:p>
        </w:tc>
      </w:tr>
      <w:tr w:rsidR="002C5960" w:rsidRPr="002C5960" w14:paraId="7612D862" w14:textId="77777777" w:rsidTr="00926588">
        <w:trPr>
          <w:trHeight w:val="206"/>
          <w:jc w:val="center"/>
        </w:trPr>
        <w:tc>
          <w:tcPr>
            <w:tcW w:w="2518" w:type="dxa"/>
            <w:shd w:val="clear" w:color="auto" w:fill="auto"/>
          </w:tcPr>
          <w:p w14:paraId="5CEA72A7" w14:textId="77777777" w:rsidR="00C665CD" w:rsidRPr="002C5960" w:rsidRDefault="00C665CD" w:rsidP="00C665CD">
            <w:pPr>
              <w:rPr>
                <w:b/>
                <w:sz w:val="24"/>
                <w:szCs w:val="24"/>
              </w:rPr>
            </w:pPr>
            <w:r w:rsidRPr="002C5960">
              <w:rPr>
                <w:b/>
                <w:sz w:val="24"/>
                <w:szCs w:val="24"/>
              </w:rPr>
              <w:t>Навчально-методичне забезпечення</w:t>
            </w:r>
          </w:p>
        </w:tc>
        <w:tc>
          <w:tcPr>
            <w:tcW w:w="6804" w:type="dxa"/>
            <w:shd w:val="clear" w:color="auto" w:fill="auto"/>
          </w:tcPr>
          <w:p w14:paraId="293D64BC" w14:textId="77777777" w:rsidR="00C665CD" w:rsidRPr="002C5960" w:rsidRDefault="00C665CD" w:rsidP="00C665CD">
            <w:pPr>
              <w:tabs>
                <w:tab w:val="left" w:pos="0"/>
              </w:tabs>
              <w:ind w:firstLine="709"/>
              <w:jc w:val="center"/>
              <w:rPr>
                <w:b/>
                <w:i/>
                <w:sz w:val="24"/>
                <w:szCs w:val="24"/>
              </w:rPr>
            </w:pPr>
            <w:r w:rsidRPr="002C5960">
              <w:rPr>
                <w:b/>
                <w:i/>
                <w:sz w:val="24"/>
                <w:szCs w:val="24"/>
              </w:rPr>
              <w:t>Основна література</w:t>
            </w:r>
          </w:p>
          <w:p w14:paraId="334E41A3" w14:textId="77777777" w:rsidR="00C665CD" w:rsidRPr="002C5960" w:rsidRDefault="00C665CD" w:rsidP="008154A8">
            <w:pPr>
              <w:pStyle w:val="1"/>
              <w:numPr>
                <w:ilvl w:val="0"/>
                <w:numId w:val="2"/>
              </w:numPr>
              <w:spacing w:after="0"/>
              <w:ind w:left="0" w:firstLine="193"/>
              <w:jc w:val="both"/>
              <w:rPr>
                <w:rFonts w:ascii="Times New Roman" w:hAnsi="Times New Roman"/>
                <w:sz w:val="24"/>
                <w:szCs w:val="24"/>
                <w:lang w:val="uk-UA"/>
              </w:rPr>
            </w:pPr>
            <w:r w:rsidRPr="002C5960">
              <w:rPr>
                <w:rFonts w:ascii="Times New Roman" w:hAnsi="Times New Roman"/>
                <w:sz w:val="24"/>
                <w:szCs w:val="24"/>
                <w:lang w:val="uk-UA"/>
              </w:rPr>
              <w:t>Закон України "</w:t>
            </w:r>
            <w:r w:rsidRPr="002C5960">
              <w:rPr>
                <w:rFonts w:ascii="Times New Roman" w:hAnsi="Times New Roman"/>
                <w:bCs/>
                <w:sz w:val="24"/>
                <w:szCs w:val="24"/>
                <w:shd w:val="clear" w:color="auto" w:fill="FFFFFF"/>
                <w:lang w:val="uk-UA"/>
              </w:rPr>
              <w:t>Про метрологію та метрологічну діяльність</w:t>
            </w:r>
            <w:r w:rsidRPr="002C5960">
              <w:rPr>
                <w:rFonts w:ascii="Times New Roman" w:hAnsi="Times New Roman"/>
                <w:sz w:val="24"/>
                <w:szCs w:val="24"/>
                <w:lang w:val="uk-UA"/>
              </w:rPr>
              <w:t>" (актуалізовані редакції).</w:t>
            </w:r>
          </w:p>
          <w:p w14:paraId="5C38CCAD" w14:textId="77777777" w:rsidR="00C665CD" w:rsidRPr="002C5960" w:rsidRDefault="00C665CD" w:rsidP="008154A8">
            <w:pPr>
              <w:pStyle w:val="Default"/>
              <w:numPr>
                <w:ilvl w:val="0"/>
                <w:numId w:val="2"/>
              </w:numPr>
              <w:ind w:left="0" w:firstLine="193"/>
              <w:jc w:val="both"/>
              <w:rPr>
                <w:color w:val="auto"/>
              </w:rPr>
            </w:pPr>
            <w:r w:rsidRPr="002C5960">
              <w:rPr>
                <w:color w:val="auto"/>
                <w:lang w:val="uk-UA"/>
              </w:rPr>
              <w:t>Технічне регулювання та контроль на підприємстві / А.М. Должанський та ін. Дніпро</w:t>
            </w:r>
            <w:r w:rsidR="00ED47F6" w:rsidRPr="002C5960">
              <w:rPr>
                <w:color w:val="auto"/>
                <w:lang w:val="en-US"/>
              </w:rPr>
              <w:t xml:space="preserve"> </w:t>
            </w:r>
            <w:r w:rsidRPr="002C5960">
              <w:rPr>
                <w:color w:val="auto"/>
                <w:lang w:val="uk-UA"/>
              </w:rPr>
              <w:t>: Видавець «Свідлер А.Л.», 2021. Том 1. 523 с.</w:t>
            </w:r>
          </w:p>
          <w:p w14:paraId="0A10E71C"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 xml:space="preserve">Методи та засоби інформаційно-вимірювальної техніки, випробувань і контролю: Підручник (з грифом Вченої ради </w:t>
            </w:r>
            <w:r w:rsidRPr="002C5960">
              <w:rPr>
                <w:color w:val="auto"/>
                <w:lang w:val="uk-UA"/>
              </w:rPr>
              <w:lastRenderedPageBreak/>
              <w:t>НМетАУ) / Є.О. Петльований та ін. Дніпро</w:t>
            </w:r>
            <w:r w:rsidR="00ED47F6" w:rsidRPr="002C5960">
              <w:rPr>
                <w:color w:val="auto"/>
                <w:lang w:val="en-US"/>
              </w:rPr>
              <w:t xml:space="preserve"> </w:t>
            </w:r>
            <w:r w:rsidRPr="002C5960">
              <w:rPr>
                <w:color w:val="auto"/>
                <w:lang w:val="uk-UA"/>
              </w:rPr>
              <w:t>: Видавництво «Свідлер А.Л.», 2018. 191 с.</w:t>
            </w:r>
          </w:p>
          <w:p w14:paraId="457EE3FB"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забезпечення єдності вимірювань та еталони одиниць фізичних величин: Підручник (з грифом Вченої ради НМетАУ) / К.О. Чорноіваненко та ін. Дніпро</w:t>
            </w:r>
            <w:r w:rsidR="00ED47F6" w:rsidRPr="002C5960">
              <w:rPr>
                <w:color w:val="auto"/>
                <w:lang w:val="en-US"/>
              </w:rPr>
              <w:t xml:space="preserve"> </w:t>
            </w:r>
            <w:r w:rsidRPr="002C5960">
              <w:rPr>
                <w:color w:val="auto"/>
                <w:lang w:val="uk-UA"/>
              </w:rPr>
              <w:t>: Видавництво «Свідлер А.Л.», 2018. 164 с.</w:t>
            </w:r>
          </w:p>
          <w:p w14:paraId="2FFCE09D"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та вимірювальна техніка / Є.С. Поліщук та ін. Львів</w:t>
            </w:r>
            <w:r w:rsidR="00ED47F6" w:rsidRPr="002C5960">
              <w:rPr>
                <w:color w:val="auto"/>
                <w:lang w:val="en-US"/>
              </w:rPr>
              <w:t xml:space="preserve"> </w:t>
            </w:r>
            <w:r w:rsidRPr="002C5960">
              <w:rPr>
                <w:color w:val="auto"/>
                <w:lang w:val="uk-UA"/>
              </w:rPr>
              <w:t>: Бескет Біт, 2003. 544 с.</w:t>
            </w:r>
          </w:p>
          <w:p w14:paraId="1341A501"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Метрологія та вимірювальна техніка / В.В. Кухарчук та ін. Вінниця</w:t>
            </w:r>
            <w:r w:rsidR="00ED47F6" w:rsidRPr="002C5960">
              <w:rPr>
                <w:color w:val="auto"/>
                <w:lang w:val="en-US"/>
              </w:rPr>
              <w:t xml:space="preserve"> </w:t>
            </w:r>
            <w:r w:rsidRPr="002C5960">
              <w:rPr>
                <w:color w:val="auto"/>
                <w:lang w:val="uk-UA"/>
              </w:rPr>
              <w:t>: УНІВЕРСУМ-Вінниця, 2004. 252 с.</w:t>
            </w:r>
          </w:p>
          <w:p w14:paraId="5863D328" w14:textId="77777777" w:rsidR="00C665CD" w:rsidRPr="002C5960" w:rsidRDefault="00C665CD" w:rsidP="008154A8">
            <w:pPr>
              <w:ind w:firstLine="193"/>
              <w:jc w:val="center"/>
              <w:rPr>
                <w:b/>
                <w:i/>
                <w:sz w:val="24"/>
                <w:szCs w:val="24"/>
              </w:rPr>
            </w:pPr>
            <w:r w:rsidRPr="002C5960">
              <w:rPr>
                <w:b/>
                <w:i/>
                <w:sz w:val="24"/>
                <w:szCs w:val="24"/>
              </w:rPr>
              <w:t>Допоміжна література</w:t>
            </w:r>
          </w:p>
          <w:p w14:paraId="08A87D6D"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Дорожовець М. Опрацювання результатів вимірювань: Навч. посібник. Львів</w:t>
            </w:r>
            <w:r w:rsidR="00ED47F6" w:rsidRPr="002C5960">
              <w:rPr>
                <w:color w:val="auto"/>
              </w:rPr>
              <w:t xml:space="preserve"> </w:t>
            </w:r>
            <w:r w:rsidRPr="002C5960">
              <w:rPr>
                <w:color w:val="auto"/>
                <w:lang w:val="uk-UA"/>
              </w:rPr>
              <w:t>: Видавництво Національного університету "Львівська політехніка", 2007. 624 с.</w:t>
            </w:r>
          </w:p>
          <w:p w14:paraId="42E0748C" w14:textId="77777777" w:rsidR="00C665CD" w:rsidRPr="002C5960" w:rsidRDefault="00C665CD" w:rsidP="008154A8">
            <w:pPr>
              <w:pStyle w:val="Default"/>
              <w:numPr>
                <w:ilvl w:val="0"/>
                <w:numId w:val="2"/>
              </w:numPr>
              <w:ind w:left="0" w:firstLine="193"/>
              <w:jc w:val="both"/>
              <w:rPr>
                <w:color w:val="auto"/>
                <w:lang w:val="uk-UA"/>
              </w:rPr>
            </w:pPr>
            <w:r w:rsidRPr="002C5960">
              <w:rPr>
                <w:color w:val="auto"/>
                <w:lang w:val="uk-UA"/>
              </w:rPr>
              <w:t>Цюцюра В.Д. Метрологія та основи вимірювань: Навч. посібник. К.: Знання-Прес, 2003. 287 с.</w:t>
            </w:r>
          </w:p>
          <w:p w14:paraId="37E3F04F" w14:textId="77777777" w:rsidR="00C665CD" w:rsidRPr="002C5960" w:rsidRDefault="00C665CD" w:rsidP="008154A8">
            <w:pPr>
              <w:numPr>
                <w:ilvl w:val="0"/>
                <w:numId w:val="2"/>
              </w:numPr>
              <w:ind w:left="0" w:firstLine="193"/>
              <w:jc w:val="both"/>
              <w:rPr>
                <w:sz w:val="24"/>
                <w:szCs w:val="24"/>
              </w:rPr>
            </w:pPr>
            <w:r w:rsidRPr="002C5960">
              <w:rPr>
                <w:sz w:val="24"/>
                <w:szCs w:val="24"/>
              </w:rPr>
              <w:t>Боженко Л.І. Метрологія, стандартизація, сертифікація та акредитація: Навч. посібник. Львів: Афіша, 2004. 324 с.</w:t>
            </w:r>
          </w:p>
          <w:p w14:paraId="3E86CB2F" w14:textId="77777777" w:rsidR="00C665CD" w:rsidRPr="002C5960" w:rsidRDefault="00C665CD" w:rsidP="008154A8">
            <w:pPr>
              <w:numPr>
                <w:ilvl w:val="0"/>
                <w:numId w:val="2"/>
              </w:numPr>
              <w:ind w:left="0" w:firstLine="193"/>
              <w:jc w:val="both"/>
              <w:rPr>
                <w:sz w:val="24"/>
                <w:szCs w:val="24"/>
              </w:rPr>
            </w:pPr>
            <w:r w:rsidRPr="002C5960">
              <w:rPr>
                <w:sz w:val="24"/>
                <w:szCs w:val="24"/>
              </w:rPr>
              <w:t>Тарасова В.В. Метрологія, стандартизація і сертифікація: Підручник. К.: Центр навчальної літератури, 2006. 264 с.</w:t>
            </w:r>
          </w:p>
          <w:p w14:paraId="542DA4A9" w14:textId="631024C8" w:rsidR="00C665CD" w:rsidRPr="002C5960" w:rsidRDefault="00C665CD" w:rsidP="00C55C02">
            <w:pPr>
              <w:pStyle w:val="Default"/>
              <w:numPr>
                <w:ilvl w:val="0"/>
                <w:numId w:val="2"/>
              </w:numPr>
              <w:ind w:left="0" w:firstLine="193"/>
              <w:jc w:val="both"/>
              <w:rPr>
                <w:color w:val="auto"/>
              </w:rPr>
            </w:pPr>
            <w:r w:rsidRPr="002C5960">
              <w:rPr>
                <w:color w:val="auto"/>
                <w:lang w:val="uk-UA"/>
              </w:rPr>
              <w:t>Положення про виконання кваліфікаційної роботи в Українському державному університеті науки і технологій : рукопис / Розробники: Радкевич А.В. та ін.  Дніпро : УДУНТ. 2022. 47 с.</w:t>
            </w:r>
          </w:p>
        </w:tc>
      </w:tr>
    </w:tbl>
    <w:p w14:paraId="4C042482" w14:textId="77777777" w:rsidR="00C43818" w:rsidRPr="002C5960" w:rsidRDefault="00C43818"/>
    <w:sectPr w:rsidR="00C43818" w:rsidRPr="002C59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401D" w14:textId="77777777" w:rsidR="00545DDC" w:rsidRDefault="00545DDC" w:rsidP="006F66BA">
      <w:r>
        <w:separator/>
      </w:r>
    </w:p>
  </w:endnote>
  <w:endnote w:type="continuationSeparator" w:id="0">
    <w:p w14:paraId="15E94347" w14:textId="77777777" w:rsidR="00545DDC" w:rsidRDefault="00545DDC" w:rsidP="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09B18" w14:textId="77777777" w:rsidR="00545DDC" w:rsidRDefault="00545DDC" w:rsidP="006F66BA">
      <w:r>
        <w:separator/>
      </w:r>
    </w:p>
  </w:footnote>
  <w:footnote w:type="continuationSeparator" w:id="0">
    <w:p w14:paraId="23FCAB41" w14:textId="77777777" w:rsidR="00545DDC" w:rsidRDefault="00545DDC" w:rsidP="006F66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E03887"/>
    <w:multiLevelType w:val="hybridMultilevel"/>
    <w:tmpl w:val="D6ECC464"/>
    <w:lvl w:ilvl="0" w:tplc="903CD4A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9BB4A3F"/>
    <w:multiLevelType w:val="hybridMultilevel"/>
    <w:tmpl w:val="3662D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69832C5"/>
    <w:multiLevelType w:val="hybridMultilevel"/>
    <w:tmpl w:val="3F724FBA"/>
    <w:lvl w:ilvl="0" w:tplc="A25AD678">
      <w:start w:val="1"/>
      <w:numFmt w:val="decimal"/>
      <w:lvlText w:val="%1."/>
      <w:lvlJc w:val="left"/>
      <w:pPr>
        <w:ind w:left="553" w:hanging="360"/>
      </w:pPr>
      <w:rPr>
        <w:rFonts w:cs="Times New Roman" w:hint="default"/>
      </w:rPr>
    </w:lvl>
    <w:lvl w:ilvl="1" w:tplc="04190019" w:tentative="1">
      <w:start w:val="1"/>
      <w:numFmt w:val="lowerLetter"/>
      <w:lvlText w:val="%2."/>
      <w:lvlJc w:val="left"/>
      <w:pPr>
        <w:ind w:left="1273" w:hanging="360"/>
      </w:pPr>
      <w:rPr>
        <w:rFonts w:cs="Times New Roman"/>
      </w:rPr>
    </w:lvl>
    <w:lvl w:ilvl="2" w:tplc="0419001B" w:tentative="1">
      <w:start w:val="1"/>
      <w:numFmt w:val="lowerRoman"/>
      <w:lvlText w:val="%3."/>
      <w:lvlJc w:val="right"/>
      <w:pPr>
        <w:ind w:left="1993" w:hanging="180"/>
      </w:pPr>
      <w:rPr>
        <w:rFonts w:cs="Times New Roman"/>
      </w:rPr>
    </w:lvl>
    <w:lvl w:ilvl="3" w:tplc="0419000F" w:tentative="1">
      <w:start w:val="1"/>
      <w:numFmt w:val="decimal"/>
      <w:lvlText w:val="%4."/>
      <w:lvlJc w:val="left"/>
      <w:pPr>
        <w:ind w:left="2713" w:hanging="360"/>
      </w:pPr>
      <w:rPr>
        <w:rFonts w:cs="Times New Roman"/>
      </w:rPr>
    </w:lvl>
    <w:lvl w:ilvl="4" w:tplc="04190019" w:tentative="1">
      <w:start w:val="1"/>
      <w:numFmt w:val="lowerLetter"/>
      <w:lvlText w:val="%5."/>
      <w:lvlJc w:val="left"/>
      <w:pPr>
        <w:ind w:left="3433" w:hanging="360"/>
      </w:pPr>
      <w:rPr>
        <w:rFonts w:cs="Times New Roman"/>
      </w:rPr>
    </w:lvl>
    <w:lvl w:ilvl="5" w:tplc="0419001B" w:tentative="1">
      <w:start w:val="1"/>
      <w:numFmt w:val="lowerRoman"/>
      <w:lvlText w:val="%6."/>
      <w:lvlJc w:val="right"/>
      <w:pPr>
        <w:ind w:left="4153" w:hanging="180"/>
      </w:pPr>
      <w:rPr>
        <w:rFonts w:cs="Times New Roman"/>
      </w:rPr>
    </w:lvl>
    <w:lvl w:ilvl="6" w:tplc="0419000F" w:tentative="1">
      <w:start w:val="1"/>
      <w:numFmt w:val="decimal"/>
      <w:lvlText w:val="%7."/>
      <w:lvlJc w:val="left"/>
      <w:pPr>
        <w:ind w:left="4873" w:hanging="360"/>
      </w:pPr>
      <w:rPr>
        <w:rFonts w:cs="Times New Roman"/>
      </w:rPr>
    </w:lvl>
    <w:lvl w:ilvl="7" w:tplc="04190019" w:tentative="1">
      <w:start w:val="1"/>
      <w:numFmt w:val="lowerLetter"/>
      <w:lvlText w:val="%8."/>
      <w:lvlJc w:val="left"/>
      <w:pPr>
        <w:ind w:left="5593" w:hanging="360"/>
      </w:pPr>
      <w:rPr>
        <w:rFonts w:cs="Times New Roman"/>
      </w:rPr>
    </w:lvl>
    <w:lvl w:ilvl="8" w:tplc="0419001B" w:tentative="1">
      <w:start w:val="1"/>
      <w:numFmt w:val="lowerRoman"/>
      <w:lvlText w:val="%9."/>
      <w:lvlJc w:val="right"/>
      <w:pPr>
        <w:ind w:left="6313" w:hanging="180"/>
      </w:pPr>
      <w:rPr>
        <w:rFonts w:cs="Times New Roman"/>
      </w:rPr>
    </w:lvl>
  </w:abstractNum>
  <w:abstractNum w:abstractNumId="4" w15:restartNumberingAfterBreak="0">
    <w:nsid w:val="47467C7C"/>
    <w:multiLevelType w:val="hybridMultilevel"/>
    <w:tmpl w:val="F5FEA476"/>
    <w:lvl w:ilvl="0" w:tplc="0419000F">
      <w:start w:val="1"/>
      <w:numFmt w:val="decimal"/>
      <w:lvlText w:val="%1."/>
      <w:lvlJc w:val="left"/>
      <w:pPr>
        <w:tabs>
          <w:tab w:val="num" w:pos="1776"/>
        </w:tabs>
        <w:ind w:left="1776" w:hanging="960"/>
      </w:pPr>
    </w:lvl>
    <w:lvl w:ilvl="1" w:tplc="04190003">
      <w:start w:val="1"/>
      <w:numFmt w:val="bullet"/>
      <w:lvlText w:val="o"/>
      <w:lvlJc w:val="left"/>
      <w:pPr>
        <w:tabs>
          <w:tab w:val="num" w:pos="1896"/>
        </w:tabs>
        <w:ind w:left="1896" w:hanging="360"/>
      </w:pPr>
      <w:rPr>
        <w:rFonts w:ascii="Courier New" w:hAnsi="Courier New" w:cs="Times New Roman" w:hint="default"/>
      </w:rPr>
    </w:lvl>
    <w:lvl w:ilvl="2" w:tplc="04190005">
      <w:start w:val="1"/>
      <w:numFmt w:val="bullet"/>
      <w:lvlText w:val=""/>
      <w:lvlJc w:val="left"/>
      <w:pPr>
        <w:tabs>
          <w:tab w:val="num" w:pos="2616"/>
        </w:tabs>
        <w:ind w:left="2616" w:hanging="360"/>
      </w:pPr>
      <w:rPr>
        <w:rFonts w:ascii="Wingdings" w:hAnsi="Wingdings" w:hint="default"/>
      </w:rPr>
    </w:lvl>
    <w:lvl w:ilvl="3" w:tplc="04190001">
      <w:start w:val="1"/>
      <w:numFmt w:val="bullet"/>
      <w:lvlText w:val=""/>
      <w:lvlJc w:val="left"/>
      <w:pPr>
        <w:tabs>
          <w:tab w:val="num" w:pos="3336"/>
        </w:tabs>
        <w:ind w:left="3336" w:hanging="360"/>
      </w:pPr>
      <w:rPr>
        <w:rFonts w:ascii="Symbol" w:hAnsi="Symbol" w:hint="default"/>
      </w:rPr>
    </w:lvl>
    <w:lvl w:ilvl="4" w:tplc="04190003">
      <w:start w:val="1"/>
      <w:numFmt w:val="bullet"/>
      <w:lvlText w:val="o"/>
      <w:lvlJc w:val="left"/>
      <w:pPr>
        <w:tabs>
          <w:tab w:val="num" w:pos="4056"/>
        </w:tabs>
        <w:ind w:left="4056" w:hanging="360"/>
      </w:pPr>
      <w:rPr>
        <w:rFonts w:ascii="Courier New" w:hAnsi="Courier New" w:cs="Times New Roman" w:hint="default"/>
      </w:rPr>
    </w:lvl>
    <w:lvl w:ilvl="5" w:tplc="04190005">
      <w:start w:val="1"/>
      <w:numFmt w:val="bullet"/>
      <w:lvlText w:val=""/>
      <w:lvlJc w:val="left"/>
      <w:pPr>
        <w:tabs>
          <w:tab w:val="num" w:pos="4776"/>
        </w:tabs>
        <w:ind w:left="4776" w:hanging="360"/>
      </w:pPr>
      <w:rPr>
        <w:rFonts w:ascii="Wingdings" w:hAnsi="Wingdings" w:hint="default"/>
      </w:rPr>
    </w:lvl>
    <w:lvl w:ilvl="6" w:tplc="04190001">
      <w:start w:val="1"/>
      <w:numFmt w:val="bullet"/>
      <w:lvlText w:val=""/>
      <w:lvlJc w:val="left"/>
      <w:pPr>
        <w:tabs>
          <w:tab w:val="num" w:pos="5496"/>
        </w:tabs>
        <w:ind w:left="5496" w:hanging="360"/>
      </w:pPr>
      <w:rPr>
        <w:rFonts w:ascii="Symbol" w:hAnsi="Symbol" w:hint="default"/>
      </w:rPr>
    </w:lvl>
    <w:lvl w:ilvl="7" w:tplc="04190003">
      <w:start w:val="1"/>
      <w:numFmt w:val="bullet"/>
      <w:lvlText w:val="o"/>
      <w:lvlJc w:val="left"/>
      <w:pPr>
        <w:tabs>
          <w:tab w:val="num" w:pos="6216"/>
        </w:tabs>
        <w:ind w:left="6216" w:hanging="360"/>
      </w:pPr>
      <w:rPr>
        <w:rFonts w:ascii="Courier New" w:hAnsi="Courier New" w:cs="Times New Roman" w:hint="default"/>
      </w:rPr>
    </w:lvl>
    <w:lvl w:ilvl="8" w:tplc="04190005">
      <w:start w:val="1"/>
      <w:numFmt w:val="bullet"/>
      <w:lvlText w:val=""/>
      <w:lvlJc w:val="left"/>
      <w:pPr>
        <w:tabs>
          <w:tab w:val="num" w:pos="6936"/>
        </w:tabs>
        <w:ind w:left="6936" w:hanging="360"/>
      </w:pPr>
      <w:rPr>
        <w:rFonts w:ascii="Wingdings" w:hAnsi="Wingdings" w:hint="default"/>
      </w:rPr>
    </w:lvl>
  </w:abstractNum>
  <w:abstractNum w:abstractNumId="5"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17E6B"/>
    <w:rsid w:val="00020AE3"/>
    <w:rsid w:val="00022E52"/>
    <w:rsid w:val="00026871"/>
    <w:rsid w:val="00034F3D"/>
    <w:rsid w:val="00075C69"/>
    <w:rsid w:val="00076CFE"/>
    <w:rsid w:val="00077399"/>
    <w:rsid w:val="00084D0E"/>
    <w:rsid w:val="00084E4A"/>
    <w:rsid w:val="00096F07"/>
    <w:rsid w:val="000D7084"/>
    <w:rsid w:val="001014D1"/>
    <w:rsid w:val="00110E09"/>
    <w:rsid w:val="00126953"/>
    <w:rsid w:val="0014020A"/>
    <w:rsid w:val="001441C2"/>
    <w:rsid w:val="0014426C"/>
    <w:rsid w:val="00146E70"/>
    <w:rsid w:val="001634D4"/>
    <w:rsid w:val="001659F2"/>
    <w:rsid w:val="00167B2F"/>
    <w:rsid w:val="0017199A"/>
    <w:rsid w:val="00184500"/>
    <w:rsid w:val="001A217C"/>
    <w:rsid w:val="001A234E"/>
    <w:rsid w:val="001A2C31"/>
    <w:rsid w:val="001A564F"/>
    <w:rsid w:val="001B0AB3"/>
    <w:rsid w:val="001D29B8"/>
    <w:rsid w:val="001E2FD7"/>
    <w:rsid w:val="001F3CA9"/>
    <w:rsid w:val="001F4547"/>
    <w:rsid w:val="00210B92"/>
    <w:rsid w:val="002140CC"/>
    <w:rsid w:val="00236491"/>
    <w:rsid w:val="00243428"/>
    <w:rsid w:val="00250349"/>
    <w:rsid w:val="00266DC0"/>
    <w:rsid w:val="00273766"/>
    <w:rsid w:val="00280EFB"/>
    <w:rsid w:val="00291830"/>
    <w:rsid w:val="0029331A"/>
    <w:rsid w:val="0029735C"/>
    <w:rsid w:val="002A3812"/>
    <w:rsid w:val="002B59F4"/>
    <w:rsid w:val="002B66AB"/>
    <w:rsid w:val="002B76D4"/>
    <w:rsid w:val="002C5960"/>
    <w:rsid w:val="002D0BE9"/>
    <w:rsid w:val="002D2FEB"/>
    <w:rsid w:val="002E1BE1"/>
    <w:rsid w:val="002E527B"/>
    <w:rsid w:val="002E73B9"/>
    <w:rsid w:val="002E77DF"/>
    <w:rsid w:val="002F2353"/>
    <w:rsid w:val="002F493F"/>
    <w:rsid w:val="002F7D97"/>
    <w:rsid w:val="00312861"/>
    <w:rsid w:val="0032168D"/>
    <w:rsid w:val="003273A5"/>
    <w:rsid w:val="0034459E"/>
    <w:rsid w:val="00346466"/>
    <w:rsid w:val="003520ED"/>
    <w:rsid w:val="00370E3D"/>
    <w:rsid w:val="0037613D"/>
    <w:rsid w:val="00377149"/>
    <w:rsid w:val="00390B83"/>
    <w:rsid w:val="003A5073"/>
    <w:rsid w:val="003A75A2"/>
    <w:rsid w:val="003B0530"/>
    <w:rsid w:val="003B495F"/>
    <w:rsid w:val="003C0B17"/>
    <w:rsid w:val="003D357B"/>
    <w:rsid w:val="00420C41"/>
    <w:rsid w:val="004268FA"/>
    <w:rsid w:val="00465428"/>
    <w:rsid w:val="00492E11"/>
    <w:rsid w:val="004A0F2A"/>
    <w:rsid w:val="004A25BE"/>
    <w:rsid w:val="004A69CA"/>
    <w:rsid w:val="004E0EBA"/>
    <w:rsid w:val="004F688F"/>
    <w:rsid w:val="005021F1"/>
    <w:rsid w:val="005066DF"/>
    <w:rsid w:val="0050771C"/>
    <w:rsid w:val="00517070"/>
    <w:rsid w:val="00535C4F"/>
    <w:rsid w:val="00545DDC"/>
    <w:rsid w:val="00552025"/>
    <w:rsid w:val="0055704F"/>
    <w:rsid w:val="005659EB"/>
    <w:rsid w:val="00566A75"/>
    <w:rsid w:val="00570EB2"/>
    <w:rsid w:val="0059044D"/>
    <w:rsid w:val="005A26C9"/>
    <w:rsid w:val="005D71AB"/>
    <w:rsid w:val="005E09AF"/>
    <w:rsid w:val="005E2754"/>
    <w:rsid w:val="0060188B"/>
    <w:rsid w:val="00604554"/>
    <w:rsid w:val="00606653"/>
    <w:rsid w:val="006259AA"/>
    <w:rsid w:val="00653245"/>
    <w:rsid w:val="0067217C"/>
    <w:rsid w:val="006778CD"/>
    <w:rsid w:val="00680435"/>
    <w:rsid w:val="00682A79"/>
    <w:rsid w:val="006955DC"/>
    <w:rsid w:val="00697C3D"/>
    <w:rsid w:val="006A749E"/>
    <w:rsid w:val="006B6697"/>
    <w:rsid w:val="006D2AC1"/>
    <w:rsid w:val="006F2DD7"/>
    <w:rsid w:val="006F66BA"/>
    <w:rsid w:val="007002BA"/>
    <w:rsid w:val="00701DBB"/>
    <w:rsid w:val="00703EAA"/>
    <w:rsid w:val="0070725C"/>
    <w:rsid w:val="00712609"/>
    <w:rsid w:val="00731BEC"/>
    <w:rsid w:val="00752657"/>
    <w:rsid w:val="007868AC"/>
    <w:rsid w:val="00790A72"/>
    <w:rsid w:val="007929FA"/>
    <w:rsid w:val="007B33AC"/>
    <w:rsid w:val="007C3121"/>
    <w:rsid w:val="007D06F8"/>
    <w:rsid w:val="007D1318"/>
    <w:rsid w:val="007D1439"/>
    <w:rsid w:val="007E555B"/>
    <w:rsid w:val="007F3068"/>
    <w:rsid w:val="00801F05"/>
    <w:rsid w:val="008154A8"/>
    <w:rsid w:val="00840C9D"/>
    <w:rsid w:val="00853323"/>
    <w:rsid w:val="0087516A"/>
    <w:rsid w:val="0088069D"/>
    <w:rsid w:val="00885FC2"/>
    <w:rsid w:val="008A4C95"/>
    <w:rsid w:val="008B0721"/>
    <w:rsid w:val="008B1414"/>
    <w:rsid w:val="008C36CD"/>
    <w:rsid w:val="008D5E4C"/>
    <w:rsid w:val="0091212F"/>
    <w:rsid w:val="00924F4D"/>
    <w:rsid w:val="00940B39"/>
    <w:rsid w:val="00955DD7"/>
    <w:rsid w:val="009622CF"/>
    <w:rsid w:val="0096315A"/>
    <w:rsid w:val="0097586E"/>
    <w:rsid w:val="00993986"/>
    <w:rsid w:val="009C1383"/>
    <w:rsid w:val="009C1A93"/>
    <w:rsid w:val="009C3C5B"/>
    <w:rsid w:val="009C5988"/>
    <w:rsid w:val="009D4B86"/>
    <w:rsid w:val="009E68D3"/>
    <w:rsid w:val="009F6BA8"/>
    <w:rsid w:val="00A078C0"/>
    <w:rsid w:val="00A13DDD"/>
    <w:rsid w:val="00A1403D"/>
    <w:rsid w:val="00A401A4"/>
    <w:rsid w:val="00A775B3"/>
    <w:rsid w:val="00A852F2"/>
    <w:rsid w:val="00A944C4"/>
    <w:rsid w:val="00AA4771"/>
    <w:rsid w:val="00AB25A1"/>
    <w:rsid w:val="00AC0192"/>
    <w:rsid w:val="00AD1FA1"/>
    <w:rsid w:val="00AE0EA9"/>
    <w:rsid w:val="00AE5DC3"/>
    <w:rsid w:val="00B0056D"/>
    <w:rsid w:val="00B00FB6"/>
    <w:rsid w:val="00B10CB6"/>
    <w:rsid w:val="00B10D95"/>
    <w:rsid w:val="00B10EC9"/>
    <w:rsid w:val="00B16369"/>
    <w:rsid w:val="00B172E9"/>
    <w:rsid w:val="00B33233"/>
    <w:rsid w:val="00B42757"/>
    <w:rsid w:val="00B4613F"/>
    <w:rsid w:val="00B471AA"/>
    <w:rsid w:val="00B8521A"/>
    <w:rsid w:val="00BA620E"/>
    <w:rsid w:val="00BC255F"/>
    <w:rsid w:val="00BD605B"/>
    <w:rsid w:val="00BE0C90"/>
    <w:rsid w:val="00BF0025"/>
    <w:rsid w:val="00BF51E4"/>
    <w:rsid w:val="00C20236"/>
    <w:rsid w:val="00C26BDA"/>
    <w:rsid w:val="00C303D2"/>
    <w:rsid w:val="00C437AB"/>
    <w:rsid w:val="00C43818"/>
    <w:rsid w:val="00C55C02"/>
    <w:rsid w:val="00C64118"/>
    <w:rsid w:val="00C665CD"/>
    <w:rsid w:val="00C708C9"/>
    <w:rsid w:val="00C74483"/>
    <w:rsid w:val="00C9765C"/>
    <w:rsid w:val="00CA0698"/>
    <w:rsid w:val="00CA3175"/>
    <w:rsid w:val="00CA37B8"/>
    <w:rsid w:val="00CB27BD"/>
    <w:rsid w:val="00CD1E80"/>
    <w:rsid w:val="00D055B3"/>
    <w:rsid w:val="00D05C7C"/>
    <w:rsid w:val="00D1472E"/>
    <w:rsid w:val="00D258B3"/>
    <w:rsid w:val="00D402B0"/>
    <w:rsid w:val="00D43BD7"/>
    <w:rsid w:val="00D562B5"/>
    <w:rsid w:val="00D61001"/>
    <w:rsid w:val="00D64026"/>
    <w:rsid w:val="00D729E4"/>
    <w:rsid w:val="00DA3296"/>
    <w:rsid w:val="00DB32BC"/>
    <w:rsid w:val="00DB4A35"/>
    <w:rsid w:val="00DC0515"/>
    <w:rsid w:val="00DC548F"/>
    <w:rsid w:val="00DD5272"/>
    <w:rsid w:val="00DD7AF4"/>
    <w:rsid w:val="00E01FF3"/>
    <w:rsid w:val="00E16E81"/>
    <w:rsid w:val="00E17DE5"/>
    <w:rsid w:val="00E23E48"/>
    <w:rsid w:val="00E2791D"/>
    <w:rsid w:val="00E61CEC"/>
    <w:rsid w:val="00E63D5A"/>
    <w:rsid w:val="00E64353"/>
    <w:rsid w:val="00E721F1"/>
    <w:rsid w:val="00E86A9A"/>
    <w:rsid w:val="00E92E65"/>
    <w:rsid w:val="00E93257"/>
    <w:rsid w:val="00E9509F"/>
    <w:rsid w:val="00ED47F6"/>
    <w:rsid w:val="00EF1552"/>
    <w:rsid w:val="00EF1773"/>
    <w:rsid w:val="00F0224B"/>
    <w:rsid w:val="00F24D3F"/>
    <w:rsid w:val="00F328D6"/>
    <w:rsid w:val="00F431AA"/>
    <w:rsid w:val="00F50916"/>
    <w:rsid w:val="00F519A7"/>
    <w:rsid w:val="00F54BFF"/>
    <w:rsid w:val="00F57A3F"/>
    <w:rsid w:val="00F70E1F"/>
    <w:rsid w:val="00F8304F"/>
    <w:rsid w:val="00FA0C86"/>
    <w:rsid w:val="00FA113D"/>
    <w:rsid w:val="00FA4B92"/>
    <w:rsid w:val="00FB21F3"/>
    <w:rsid w:val="00FC40B0"/>
    <w:rsid w:val="00FD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389DE"/>
  <w15:chartTrackingRefBased/>
  <w15:docId w15:val="{6361FE1D-6CB2-8C44-87FA-3DEDEBC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link w:val="40"/>
    <w:qFormat/>
    <w:rsid w:val="00C43818"/>
    <w:pPr>
      <w:keepNext/>
      <w:widowControl/>
      <w:autoSpaceDE/>
      <w:autoSpaceDN/>
      <w:adjustRightInd/>
      <w:ind w:firstLine="175"/>
      <w:jc w:val="both"/>
      <w:outlineLvl w:val="3"/>
    </w:pPr>
    <w:rPr>
      <w:b/>
      <w:sz w:val="28"/>
    </w:rPr>
  </w:style>
  <w:style w:type="paragraph" w:styleId="6">
    <w:name w:val="heading 6"/>
    <w:basedOn w:val="a"/>
    <w:next w:val="a"/>
    <w:link w:val="60"/>
    <w:semiHidden/>
    <w:unhideWhenUsed/>
    <w:qFormat/>
    <w:rsid w:val="00AE0EA9"/>
    <w:pPr>
      <w:widowControl/>
      <w:autoSpaceDE/>
      <w:autoSpaceDN/>
      <w:adjustRightInd/>
      <w:spacing w:before="240" w:after="60"/>
      <w:outlineLvl w:val="5"/>
    </w:pPr>
    <w:rPr>
      <w:rFonts w:ascii="Calibri" w:eastAsiaTheme="minorEastAsia" w:hAnsi="Calibri"/>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uiPriority w:val="99"/>
    <w:rsid w:val="00D1472E"/>
    <w:pPr>
      <w:widowControl/>
      <w:autoSpaceDE/>
      <w:autoSpaceDN/>
      <w:adjustRightInd/>
      <w:spacing w:before="100" w:beforeAutospacing="1" w:after="100" w:afterAutospacing="1"/>
    </w:pPr>
    <w:rPr>
      <w:sz w:val="24"/>
      <w:szCs w:val="24"/>
      <w:lang w:val="ru-RU"/>
    </w:rPr>
  </w:style>
  <w:style w:type="character" w:customStyle="1" w:styleId="11">
    <w:name w:val="Незакрита згадка1"/>
    <w:basedOn w:val="a0"/>
    <w:uiPriority w:val="99"/>
    <w:semiHidden/>
    <w:unhideWhenUsed/>
    <w:rsid w:val="00535C4F"/>
    <w:rPr>
      <w:color w:val="605E5C"/>
      <w:shd w:val="clear" w:color="auto" w:fill="E1DFDD"/>
    </w:rPr>
  </w:style>
  <w:style w:type="character" w:customStyle="1" w:styleId="40">
    <w:name w:val="Заголовок 4 Знак"/>
    <w:basedOn w:val="a0"/>
    <w:link w:val="4"/>
    <w:locked/>
    <w:rsid w:val="00E9509F"/>
    <w:rPr>
      <w:b/>
      <w:sz w:val="28"/>
      <w:lang w:val="uk-UA"/>
    </w:rPr>
  </w:style>
  <w:style w:type="paragraph" w:styleId="a5">
    <w:name w:val="List Paragraph"/>
    <w:basedOn w:val="a"/>
    <w:uiPriority w:val="34"/>
    <w:qFormat/>
    <w:rsid w:val="009622CF"/>
    <w:pPr>
      <w:widowControl/>
      <w:autoSpaceDE/>
      <w:autoSpaceDN/>
      <w:adjustRightInd/>
      <w:ind w:left="720"/>
      <w:contextualSpacing/>
    </w:pPr>
    <w:rPr>
      <w:sz w:val="24"/>
      <w:szCs w:val="24"/>
      <w:lang w:val="ru-RU"/>
    </w:rPr>
  </w:style>
  <w:style w:type="paragraph" w:styleId="a6">
    <w:name w:val="Normal (Web)"/>
    <w:basedOn w:val="a"/>
    <w:uiPriority w:val="99"/>
    <w:unhideWhenUsed/>
    <w:rsid w:val="00F70E1F"/>
    <w:pPr>
      <w:widowControl/>
      <w:autoSpaceDE/>
      <w:autoSpaceDN/>
      <w:adjustRightInd/>
    </w:pPr>
    <w:rPr>
      <w:color w:val="333333"/>
      <w:sz w:val="24"/>
      <w:szCs w:val="24"/>
      <w:lang w:val="ru-RU"/>
    </w:rPr>
  </w:style>
  <w:style w:type="paragraph" w:styleId="a7">
    <w:name w:val="header"/>
    <w:basedOn w:val="a"/>
    <w:link w:val="a8"/>
    <w:rsid w:val="006F66BA"/>
    <w:pPr>
      <w:tabs>
        <w:tab w:val="center" w:pos="4677"/>
        <w:tab w:val="right" w:pos="9355"/>
      </w:tabs>
    </w:pPr>
  </w:style>
  <w:style w:type="character" w:customStyle="1" w:styleId="a8">
    <w:name w:val="Верхний колонтитул Знак"/>
    <w:basedOn w:val="a0"/>
    <w:link w:val="a7"/>
    <w:rsid w:val="006F66BA"/>
    <w:rPr>
      <w:lang w:val="uk-UA"/>
    </w:rPr>
  </w:style>
  <w:style w:type="character" w:customStyle="1" w:styleId="60">
    <w:name w:val="Заголовок 6 Знак"/>
    <w:basedOn w:val="a0"/>
    <w:link w:val="6"/>
    <w:semiHidden/>
    <w:rsid w:val="00AE0EA9"/>
    <w:rPr>
      <w:rFonts w:ascii="Calibri" w:eastAsiaTheme="minorEastAsia" w:hAnsi="Calibri"/>
      <w:b/>
      <w:bCs/>
      <w:sz w:val="22"/>
      <w:szCs w:val="22"/>
    </w:rPr>
  </w:style>
  <w:style w:type="character" w:customStyle="1" w:styleId="fontstyle01">
    <w:name w:val="fontstyle01"/>
    <w:rsid w:val="00AE0EA9"/>
    <w:rPr>
      <w:rFonts w:ascii="TimesNewRomanPSMT" w:hAnsi="TimesNewRomanPSMT" w:hint="default"/>
      <w:b w:val="0"/>
      <w:bCs w:val="0"/>
      <w:i w:val="0"/>
      <w:iCs w:val="0"/>
      <w:color w:val="000000"/>
      <w:sz w:val="28"/>
      <w:szCs w:val="28"/>
    </w:rPr>
  </w:style>
  <w:style w:type="character" w:styleId="a9">
    <w:name w:val="Strong"/>
    <w:uiPriority w:val="22"/>
    <w:qFormat/>
    <w:rsid w:val="00D43BD7"/>
    <w:rPr>
      <w:b/>
      <w:bCs w:val="0"/>
    </w:rPr>
  </w:style>
  <w:style w:type="table" w:styleId="aa">
    <w:name w:val="Table Grid"/>
    <w:basedOn w:val="a1"/>
    <w:rsid w:val="0050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125">
      <w:bodyDiv w:val="1"/>
      <w:marLeft w:val="0"/>
      <w:marRight w:val="0"/>
      <w:marTop w:val="0"/>
      <w:marBottom w:val="0"/>
      <w:divBdr>
        <w:top w:val="none" w:sz="0" w:space="0" w:color="auto"/>
        <w:left w:val="none" w:sz="0" w:space="0" w:color="auto"/>
        <w:bottom w:val="none" w:sz="0" w:space="0" w:color="auto"/>
        <w:right w:val="none" w:sz="0" w:space="0" w:color="auto"/>
      </w:divBdr>
    </w:div>
    <w:div w:id="202330729">
      <w:bodyDiv w:val="1"/>
      <w:marLeft w:val="0"/>
      <w:marRight w:val="0"/>
      <w:marTop w:val="0"/>
      <w:marBottom w:val="0"/>
      <w:divBdr>
        <w:top w:val="none" w:sz="0" w:space="0" w:color="auto"/>
        <w:left w:val="none" w:sz="0" w:space="0" w:color="auto"/>
        <w:bottom w:val="none" w:sz="0" w:space="0" w:color="auto"/>
        <w:right w:val="none" w:sz="0" w:space="0" w:color="auto"/>
      </w:divBdr>
    </w:div>
    <w:div w:id="372391839">
      <w:bodyDiv w:val="1"/>
      <w:marLeft w:val="0"/>
      <w:marRight w:val="0"/>
      <w:marTop w:val="0"/>
      <w:marBottom w:val="0"/>
      <w:divBdr>
        <w:top w:val="none" w:sz="0" w:space="0" w:color="auto"/>
        <w:left w:val="none" w:sz="0" w:space="0" w:color="auto"/>
        <w:bottom w:val="none" w:sz="0" w:space="0" w:color="auto"/>
        <w:right w:val="none" w:sz="0" w:space="0" w:color="auto"/>
      </w:divBdr>
    </w:div>
    <w:div w:id="426075367">
      <w:bodyDiv w:val="1"/>
      <w:marLeft w:val="0"/>
      <w:marRight w:val="0"/>
      <w:marTop w:val="0"/>
      <w:marBottom w:val="0"/>
      <w:divBdr>
        <w:top w:val="none" w:sz="0" w:space="0" w:color="auto"/>
        <w:left w:val="none" w:sz="0" w:space="0" w:color="auto"/>
        <w:bottom w:val="none" w:sz="0" w:space="0" w:color="auto"/>
        <w:right w:val="none" w:sz="0" w:space="0" w:color="auto"/>
      </w:divBdr>
    </w:div>
    <w:div w:id="476577900">
      <w:bodyDiv w:val="1"/>
      <w:marLeft w:val="0"/>
      <w:marRight w:val="0"/>
      <w:marTop w:val="0"/>
      <w:marBottom w:val="0"/>
      <w:divBdr>
        <w:top w:val="none" w:sz="0" w:space="0" w:color="auto"/>
        <w:left w:val="none" w:sz="0" w:space="0" w:color="auto"/>
        <w:bottom w:val="none" w:sz="0" w:space="0" w:color="auto"/>
        <w:right w:val="none" w:sz="0" w:space="0" w:color="auto"/>
      </w:divBdr>
    </w:div>
    <w:div w:id="575170612">
      <w:bodyDiv w:val="1"/>
      <w:marLeft w:val="0"/>
      <w:marRight w:val="0"/>
      <w:marTop w:val="0"/>
      <w:marBottom w:val="0"/>
      <w:divBdr>
        <w:top w:val="none" w:sz="0" w:space="0" w:color="auto"/>
        <w:left w:val="none" w:sz="0" w:space="0" w:color="auto"/>
        <w:bottom w:val="none" w:sz="0" w:space="0" w:color="auto"/>
        <w:right w:val="none" w:sz="0" w:space="0" w:color="auto"/>
      </w:divBdr>
      <w:divsChild>
        <w:div w:id="491027854">
          <w:marLeft w:val="0"/>
          <w:marRight w:val="0"/>
          <w:marTop w:val="0"/>
          <w:marBottom w:val="0"/>
          <w:divBdr>
            <w:top w:val="none" w:sz="0" w:space="0" w:color="auto"/>
            <w:left w:val="none" w:sz="0" w:space="0" w:color="auto"/>
            <w:bottom w:val="none" w:sz="0" w:space="0" w:color="auto"/>
            <w:right w:val="none" w:sz="0" w:space="0" w:color="auto"/>
          </w:divBdr>
          <w:divsChild>
            <w:div w:id="305280044">
              <w:marLeft w:val="0"/>
              <w:marRight w:val="0"/>
              <w:marTop w:val="0"/>
              <w:marBottom w:val="0"/>
              <w:divBdr>
                <w:top w:val="none" w:sz="0" w:space="0" w:color="auto"/>
                <w:left w:val="none" w:sz="0" w:space="0" w:color="auto"/>
                <w:bottom w:val="none" w:sz="0" w:space="0" w:color="auto"/>
                <w:right w:val="none" w:sz="0" w:space="0" w:color="auto"/>
              </w:divBdr>
              <w:divsChild>
                <w:div w:id="457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83">
      <w:bodyDiv w:val="1"/>
      <w:marLeft w:val="0"/>
      <w:marRight w:val="0"/>
      <w:marTop w:val="0"/>
      <w:marBottom w:val="0"/>
      <w:divBdr>
        <w:top w:val="none" w:sz="0" w:space="0" w:color="auto"/>
        <w:left w:val="none" w:sz="0" w:space="0" w:color="auto"/>
        <w:bottom w:val="none" w:sz="0" w:space="0" w:color="auto"/>
        <w:right w:val="none" w:sz="0" w:space="0" w:color="auto"/>
      </w:divBdr>
    </w:div>
    <w:div w:id="726101222">
      <w:bodyDiv w:val="1"/>
      <w:marLeft w:val="0"/>
      <w:marRight w:val="0"/>
      <w:marTop w:val="0"/>
      <w:marBottom w:val="0"/>
      <w:divBdr>
        <w:top w:val="none" w:sz="0" w:space="0" w:color="auto"/>
        <w:left w:val="none" w:sz="0" w:space="0" w:color="auto"/>
        <w:bottom w:val="none" w:sz="0" w:space="0" w:color="auto"/>
        <w:right w:val="none" w:sz="0" w:space="0" w:color="auto"/>
      </w:divBdr>
    </w:div>
    <w:div w:id="773289719">
      <w:bodyDiv w:val="1"/>
      <w:marLeft w:val="0"/>
      <w:marRight w:val="0"/>
      <w:marTop w:val="0"/>
      <w:marBottom w:val="0"/>
      <w:divBdr>
        <w:top w:val="none" w:sz="0" w:space="0" w:color="auto"/>
        <w:left w:val="none" w:sz="0" w:space="0" w:color="auto"/>
        <w:bottom w:val="none" w:sz="0" w:space="0" w:color="auto"/>
        <w:right w:val="none" w:sz="0" w:space="0" w:color="auto"/>
      </w:divBdr>
    </w:div>
    <w:div w:id="796921068">
      <w:bodyDiv w:val="1"/>
      <w:marLeft w:val="0"/>
      <w:marRight w:val="0"/>
      <w:marTop w:val="0"/>
      <w:marBottom w:val="0"/>
      <w:divBdr>
        <w:top w:val="none" w:sz="0" w:space="0" w:color="auto"/>
        <w:left w:val="none" w:sz="0" w:space="0" w:color="auto"/>
        <w:bottom w:val="none" w:sz="0" w:space="0" w:color="auto"/>
        <w:right w:val="none" w:sz="0" w:space="0" w:color="auto"/>
      </w:divBdr>
    </w:div>
    <w:div w:id="1123960418">
      <w:bodyDiv w:val="1"/>
      <w:marLeft w:val="0"/>
      <w:marRight w:val="0"/>
      <w:marTop w:val="0"/>
      <w:marBottom w:val="0"/>
      <w:divBdr>
        <w:top w:val="none" w:sz="0" w:space="0" w:color="auto"/>
        <w:left w:val="none" w:sz="0" w:space="0" w:color="auto"/>
        <w:bottom w:val="none" w:sz="0" w:space="0" w:color="auto"/>
        <w:right w:val="none" w:sz="0" w:space="0" w:color="auto"/>
      </w:divBdr>
    </w:div>
    <w:div w:id="1521892871">
      <w:bodyDiv w:val="1"/>
      <w:marLeft w:val="0"/>
      <w:marRight w:val="0"/>
      <w:marTop w:val="0"/>
      <w:marBottom w:val="0"/>
      <w:divBdr>
        <w:top w:val="none" w:sz="0" w:space="0" w:color="auto"/>
        <w:left w:val="none" w:sz="0" w:space="0" w:color="auto"/>
        <w:bottom w:val="none" w:sz="0" w:space="0" w:color="auto"/>
        <w:right w:val="none" w:sz="0" w:space="0" w:color="auto"/>
      </w:divBdr>
    </w:div>
    <w:div w:id="1839733647">
      <w:bodyDiv w:val="1"/>
      <w:marLeft w:val="0"/>
      <w:marRight w:val="0"/>
      <w:marTop w:val="0"/>
      <w:marBottom w:val="0"/>
      <w:divBdr>
        <w:top w:val="none" w:sz="0" w:space="0" w:color="auto"/>
        <w:left w:val="none" w:sz="0" w:space="0" w:color="auto"/>
        <w:bottom w:val="none" w:sz="0" w:space="0" w:color="auto"/>
        <w:right w:val="none" w:sz="0" w:space="0" w:color="auto"/>
      </w:divBdr>
      <w:divsChild>
        <w:div w:id="990598160">
          <w:marLeft w:val="0"/>
          <w:marRight w:val="0"/>
          <w:marTop w:val="0"/>
          <w:marBottom w:val="0"/>
          <w:divBdr>
            <w:top w:val="none" w:sz="0" w:space="0" w:color="auto"/>
            <w:left w:val="none" w:sz="0" w:space="0" w:color="auto"/>
            <w:bottom w:val="none" w:sz="0" w:space="0" w:color="auto"/>
            <w:right w:val="none" w:sz="0" w:space="0" w:color="auto"/>
          </w:divBdr>
        </w:div>
      </w:divsChild>
    </w:div>
    <w:div w:id="192160112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2">
          <w:marLeft w:val="0"/>
          <w:marRight w:val="0"/>
          <w:marTop w:val="0"/>
          <w:marBottom w:val="0"/>
          <w:divBdr>
            <w:top w:val="none" w:sz="0" w:space="0" w:color="auto"/>
            <w:left w:val="none" w:sz="0" w:space="0" w:color="auto"/>
            <w:bottom w:val="none" w:sz="0" w:space="0" w:color="auto"/>
            <w:right w:val="none" w:sz="0" w:space="0" w:color="auto"/>
          </w:divBdr>
        </w:div>
        <w:div w:id="1838226514">
          <w:marLeft w:val="0"/>
          <w:marRight w:val="0"/>
          <w:marTop w:val="0"/>
          <w:marBottom w:val="0"/>
          <w:divBdr>
            <w:top w:val="none" w:sz="0" w:space="0" w:color="auto"/>
            <w:left w:val="none" w:sz="0" w:space="0" w:color="auto"/>
            <w:bottom w:val="none" w:sz="0" w:space="0" w:color="auto"/>
            <w:right w:val="none" w:sz="0" w:space="0" w:color="auto"/>
          </w:divBdr>
        </w:div>
        <w:div w:id="427392036">
          <w:marLeft w:val="0"/>
          <w:marRight w:val="0"/>
          <w:marTop w:val="0"/>
          <w:marBottom w:val="0"/>
          <w:divBdr>
            <w:top w:val="none" w:sz="0" w:space="0" w:color="auto"/>
            <w:left w:val="none" w:sz="0" w:space="0" w:color="auto"/>
            <w:bottom w:val="none" w:sz="0" w:space="0" w:color="auto"/>
            <w:right w:val="none" w:sz="0" w:space="0" w:color="auto"/>
          </w:divBdr>
          <w:divsChild>
            <w:div w:id="1754205499">
              <w:marLeft w:val="0"/>
              <w:marRight w:val="0"/>
              <w:marTop w:val="0"/>
              <w:marBottom w:val="0"/>
              <w:divBdr>
                <w:top w:val="none" w:sz="0" w:space="0" w:color="auto"/>
                <w:left w:val="none" w:sz="0" w:space="0" w:color="auto"/>
                <w:bottom w:val="none" w:sz="0" w:space="0" w:color="auto"/>
                <w:right w:val="none" w:sz="0" w:space="0" w:color="auto"/>
              </w:divBdr>
              <w:divsChild>
                <w:div w:id="13237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78">
      <w:bodyDiv w:val="1"/>
      <w:marLeft w:val="0"/>
      <w:marRight w:val="0"/>
      <w:marTop w:val="0"/>
      <w:marBottom w:val="0"/>
      <w:divBdr>
        <w:top w:val="none" w:sz="0" w:space="0" w:color="auto"/>
        <w:left w:val="none" w:sz="0" w:space="0" w:color="auto"/>
        <w:bottom w:val="none" w:sz="0" w:space="0" w:color="auto"/>
        <w:right w:val="none" w:sz="0" w:space="0" w:color="auto"/>
      </w:divBdr>
    </w:div>
    <w:div w:id="2051833481">
      <w:bodyDiv w:val="1"/>
      <w:marLeft w:val="0"/>
      <w:marRight w:val="0"/>
      <w:marTop w:val="0"/>
      <w:marBottom w:val="0"/>
      <w:divBdr>
        <w:top w:val="none" w:sz="0" w:space="0" w:color="auto"/>
        <w:left w:val="none" w:sz="0" w:space="0" w:color="auto"/>
        <w:bottom w:val="none" w:sz="0" w:space="0" w:color="auto"/>
        <w:right w:val="none" w:sz="0" w:space="0" w:color="auto"/>
      </w:divBdr>
    </w:div>
    <w:div w:id="2101367141">
      <w:bodyDiv w:val="1"/>
      <w:marLeft w:val="0"/>
      <w:marRight w:val="0"/>
      <w:marTop w:val="0"/>
      <w:marBottom w:val="0"/>
      <w:divBdr>
        <w:top w:val="none" w:sz="0" w:space="0" w:color="auto"/>
        <w:left w:val="none" w:sz="0" w:space="0" w:color="auto"/>
        <w:bottom w:val="none" w:sz="0" w:space="0" w:color="auto"/>
        <w:right w:val="none" w:sz="0" w:space="0" w:color="auto"/>
      </w:divBdr>
      <w:divsChild>
        <w:div w:id="30562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katmovchan@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1165</Words>
  <Characters>6642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7792</CharactersWithSpaces>
  <SharedDoc>false</SharedDoc>
  <HLinks>
    <vt:vector size="6" baseType="variant">
      <vt:variant>
        <vt:i4>8060943</vt:i4>
      </vt:variant>
      <vt:variant>
        <vt:i4>0</vt:i4>
      </vt:variant>
      <vt:variant>
        <vt:i4>0</vt:i4>
      </vt:variant>
      <vt:variant>
        <vt:i4>5</vt:i4>
      </vt:variant>
      <vt:variant>
        <vt:lpwstr>mailto:a.dolzhanskiy@gmail.com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226</cp:revision>
  <dcterms:created xsi:type="dcterms:W3CDTF">2022-12-06T22:03:00Z</dcterms:created>
  <dcterms:modified xsi:type="dcterms:W3CDTF">2026-02-01T09:06:00Z</dcterms:modified>
</cp:coreProperties>
</file>