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2263"/>
        <w:gridCol w:w="7082"/>
      </w:tblGrid>
      <w:tr w:rsidR="00BA4535" w:rsidRPr="00BA4535" w:rsidTr="005267D8">
        <w:tc>
          <w:tcPr>
            <w:tcW w:w="9345" w:type="dxa"/>
            <w:gridSpan w:val="2"/>
          </w:tcPr>
          <w:p w:rsidR="005066DF" w:rsidRPr="00BA4535" w:rsidRDefault="005066DF" w:rsidP="00C43818">
            <w:pPr>
              <w:jc w:val="center"/>
              <w:rPr>
                <w:sz w:val="24"/>
                <w:szCs w:val="24"/>
              </w:rPr>
            </w:pPr>
            <w:r w:rsidRPr="00BA4535">
              <w:rPr>
                <w:b/>
                <w:bCs/>
                <w:sz w:val="24"/>
                <w:szCs w:val="24"/>
              </w:rPr>
              <w:t>УКРАЇНСЬКИЙ ДЕРЖАВНИЙ УНІВЕРСИТЕТ НАУКИ І ТЕХНОЛОГІЙ</w:t>
            </w:r>
          </w:p>
        </w:tc>
      </w:tr>
      <w:tr w:rsidR="005066DF" w:rsidRPr="00BA4535" w:rsidTr="005066DF">
        <w:tc>
          <w:tcPr>
            <w:tcW w:w="2263" w:type="dxa"/>
          </w:tcPr>
          <w:p w:rsidR="005066DF" w:rsidRPr="00BA4535" w:rsidRDefault="005066DF" w:rsidP="00C43818">
            <w:pPr>
              <w:jc w:val="center"/>
              <w:rPr>
                <w:sz w:val="24"/>
                <w:szCs w:val="24"/>
              </w:rPr>
            </w:pPr>
            <w:r w:rsidRPr="00BA4535">
              <w:rPr>
                <w:noProof/>
                <w:sz w:val="24"/>
                <w:szCs w:val="24"/>
                <w:lang w:val="en-US" w:eastAsia="en-US"/>
              </w:rPr>
              <w:drawing>
                <wp:inline distT="0" distB="0" distL="0" distR="0" wp14:anchorId="69FE0620" wp14:editId="513DF99A">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082" w:type="dxa"/>
          </w:tcPr>
          <w:p w:rsidR="005066DF" w:rsidRPr="00BA4535" w:rsidRDefault="005066DF" w:rsidP="005066DF">
            <w:pPr>
              <w:jc w:val="center"/>
              <w:rPr>
                <w:b/>
                <w:bCs/>
                <w:sz w:val="24"/>
                <w:szCs w:val="24"/>
              </w:rPr>
            </w:pPr>
          </w:p>
          <w:p w:rsidR="005066DF" w:rsidRPr="00BA4535" w:rsidRDefault="005066DF" w:rsidP="005066DF">
            <w:pPr>
              <w:jc w:val="center"/>
              <w:rPr>
                <w:b/>
                <w:bCs/>
                <w:sz w:val="24"/>
                <w:szCs w:val="24"/>
              </w:rPr>
            </w:pPr>
            <w:r w:rsidRPr="00BA4535">
              <w:rPr>
                <w:b/>
                <w:bCs/>
                <w:sz w:val="24"/>
                <w:szCs w:val="24"/>
              </w:rPr>
              <w:t xml:space="preserve">СИЛАБУС </w:t>
            </w:r>
          </w:p>
          <w:p w:rsidR="005066DF" w:rsidRPr="00BA4535" w:rsidRDefault="005066DF" w:rsidP="00306FD4">
            <w:pPr>
              <w:keepNext/>
              <w:jc w:val="center"/>
              <w:outlineLvl w:val="0"/>
            </w:pPr>
            <w:r w:rsidRPr="00BA4535">
              <w:rPr>
                <w:sz w:val="24"/>
                <w:szCs w:val="24"/>
              </w:rPr>
              <w:t>«</w:t>
            </w:r>
            <w:r w:rsidR="00306FD4" w:rsidRPr="00BA4535">
              <w:rPr>
                <w:b/>
                <w:bCs/>
                <w:caps/>
                <w:sz w:val="32"/>
                <w:szCs w:val="32"/>
              </w:rPr>
              <w:t>Товарознавство</w:t>
            </w:r>
            <w:r w:rsidRPr="00BA4535">
              <w:rPr>
                <w:sz w:val="24"/>
                <w:szCs w:val="24"/>
              </w:rPr>
              <w:t>»</w:t>
            </w:r>
          </w:p>
          <w:p w:rsidR="005066DF" w:rsidRPr="00BA4535" w:rsidRDefault="005066DF" w:rsidP="00C43818">
            <w:pPr>
              <w:jc w:val="center"/>
              <w:rPr>
                <w:sz w:val="24"/>
                <w:szCs w:val="24"/>
              </w:rPr>
            </w:pPr>
          </w:p>
        </w:tc>
      </w:tr>
    </w:tbl>
    <w:p w:rsidR="005066DF" w:rsidRPr="00BA4535" w:rsidRDefault="005066DF" w:rsidP="00C43818">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trPr>
          <w:jc w:val="center"/>
        </w:trPr>
        <w:tc>
          <w:tcPr>
            <w:tcW w:w="2518" w:type="dxa"/>
            <w:shd w:val="clear" w:color="auto" w:fill="auto"/>
          </w:tcPr>
          <w:p w:rsidR="005066DF" w:rsidRPr="00BA4535" w:rsidRDefault="005066DF" w:rsidP="00C43818">
            <w:pPr>
              <w:spacing w:before="120" w:after="120"/>
              <w:rPr>
                <w:b/>
                <w:sz w:val="22"/>
                <w:szCs w:val="22"/>
              </w:rPr>
            </w:pPr>
            <w:r w:rsidRPr="00BA4535">
              <w:rPr>
                <w:b/>
                <w:sz w:val="22"/>
                <w:szCs w:val="22"/>
              </w:rPr>
              <w:t>Статус дисципліни</w:t>
            </w:r>
          </w:p>
        </w:tc>
        <w:tc>
          <w:tcPr>
            <w:tcW w:w="6804" w:type="dxa"/>
            <w:shd w:val="clear" w:color="auto" w:fill="auto"/>
          </w:tcPr>
          <w:p w:rsidR="005066DF" w:rsidRPr="00BA4535" w:rsidRDefault="00633C44" w:rsidP="00E93257">
            <w:pPr>
              <w:spacing w:before="120" w:after="120"/>
              <w:rPr>
                <w:rFonts w:eastAsia="Calibri"/>
                <w:bCs/>
                <w:sz w:val="24"/>
                <w:szCs w:val="24"/>
                <w:lang w:eastAsia="en-US"/>
              </w:rPr>
            </w:pPr>
            <w:r w:rsidRPr="00BA4535">
              <w:rPr>
                <w:sz w:val="24"/>
                <w:szCs w:val="24"/>
              </w:rPr>
              <w:t>Вибіркова</w:t>
            </w:r>
            <w:r w:rsidR="005066DF" w:rsidRPr="00BA4535">
              <w:rPr>
                <w:sz w:val="24"/>
                <w:szCs w:val="24"/>
              </w:rPr>
              <w:t xml:space="preserve"> дисципліна професійної підготовки</w:t>
            </w:r>
          </w:p>
        </w:tc>
      </w:tr>
      <w:tr w:rsidR="00BA4535" w:rsidRPr="00BA4535">
        <w:trPr>
          <w:jc w:val="center"/>
        </w:trPr>
        <w:tc>
          <w:tcPr>
            <w:tcW w:w="2518" w:type="dxa"/>
            <w:shd w:val="clear" w:color="auto" w:fill="auto"/>
          </w:tcPr>
          <w:p w:rsidR="00C43818" w:rsidRPr="00BA4535" w:rsidRDefault="00C43818" w:rsidP="00C43818">
            <w:pPr>
              <w:spacing w:before="120" w:after="120"/>
              <w:rPr>
                <w:b/>
                <w:sz w:val="22"/>
                <w:szCs w:val="22"/>
              </w:rPr>
            </w:pPr>
            <w:r w:rsidRPr="00BA4535">
              <w:rPr>
                <w:b/>
                <w:sz w:val="22"/>
                <w:szCs w:val="22"/>
              </w:rPr>
              <w:t>Код та назва дисципліни</w:t>
            </w:r>
          </w:p>
        </w:tc>
        <w:tc>
          <w:tcPr>
            <w:tcW w:w="6804" w:type="dxa"/>
            <w:shd w:val="clear" w:color="auto" w:fill="auto"/>
          </w:tcPr>
          <w:p w:rsidR="00C43818" w:rsidRPr="00BA4535" w:rsidRDefault="00633C44" w:rsidP="00633C44">
            <w:pPr>
              <w:spacing w:before="120" w:after="120"/>
              <w:rPr>
                <w:sz w:val="24"/>
                <w:szCs w:val="24"/>
              </w:rPr>
            </w:pPr>
            <w:r w:rsidRPr="00BA4535">
              <w:rPr>
                <w:rFonts w:eastAsia="Calibri"/>
                <w:bCs/>
                <w:sz w:val="24"/>
                <w:szCs w:val="24"/>
                <w:lang w:eastAsia="en-US"/>
              </w:rPr>
              <w:t>В</w:t>
            </w:r>
            <w:r w:rsidR="005E2754" w:rsidRPr="00BA4535">
              <w:rPr>
                <w:rFonts w:eastAsia="Calibri"/>
                <w:bCs/>
                <w:sz w:val="24"/>
                <w:szCs w:val="24"/>
                <w:lang w:eastAsia="en-US"/>
              </w:rPr>
              <w:t>К</w:t>
            </w:r>
            <w:r w:rsidR="00306FD4" w:rsidRPr="00BA4535">
              <w:rPr>
                <w:rFonts w:eastAsia="Calibri"/>
                <w:bCs/>
                <w:sz w:val="24"/>
                <w:szCs w:val="24"/>
                <w:lang w:eastAsia="en-US"/>
              </w:rPr>
              <w:t>2</w:t>
            </w:r>
            <w:r w:rsidRPr="00BA4535">
              <w:rPr>
                <w:rFonts w:eastAsia="Calibri"/>
                <w:bCs/>
                <w:sz w:val="24"/>
                <w:szCs w:val="24"/>
                <w:lang w:eastAsia="en-US"/>
              </w:rPr>
              <w:t>.3-1</w:t>
            </w:r>
            <w:r w:rsidR="00306FD4" w:rsidRPr="00BA4535">
              <w:rPr>
                <w:rFonts w:eastAsia="Calibri"/>
                <w:bCs/>
                <w:sz w:val="24"/>
                <w:szCs w:val="24"/>
                <w:lang w:eastAsia="en-US"/>
              </w:rPr>
              <w:t xml:space="preserve"> Товарознавство</w:t>
            </w:r>
            <w:r w:rsidRPr="00BA4535">
              <w:rPr>
                <w:rFonts w:eastAsia="Calibri"/>
                <w:bCs/>
                <w:sz w:val="24"/>
                <w:szCs w:val="24"/>
                <w:lang w:eastAsia="en-US"/>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Код та назва спеціальності</w:t>
            </w:r>
            <w:r w:rsidR="005066DF" w:rsidRPr="00BA4535">
              <w:rPr>
                <w:b/>
                <w:sz w:val="22"/>
                <w:szCs w:val="22"/>
              </w:rPr>
              <w:t xml:space="preserve"> та спеціалізації (за наявності)</w:t>
            </w:r>
          </w:p>
        </w:tc>
        <w:tc>
          <w:tcPr>
            <w:tcW w:w="6804" w:type="dxa"/>
            <w:shd w:val="clear" w:color="auto" w:fill="auto"/>
            <w:vAlign w:val="center"/>
          </w:tcPr>
          <w:p w:rsidR="00C43818" w:rsidRPr="00BA4535" w:rsidRDefault="00DE6656" w:rsidP="00633C44">
            <w:pPr>
              <w:rPr>
                <w:sz w:val="24"/>
                <w:szCs w:val="24"/>
              </w:rPr>
            </w:pPr>
            <w:r>
              <w:rPr>
                <w:sz w:val="24"/>
                <w:szCs w:val="24"/>
                <w:lang w:val="en-US"/>
              </w:rPr>
              <w:t>G6</w:t>
            </w:r>
            <w:bookmarkStart w:id="0" w:name="_GoBack"/>
            <w:bookmarkEnd w:id="0"/>
            <w:r w:rsidR="00C43818" w:rsidRPr="00BA4535">
              <w:rPr>
                <w:sz w:val="24"/>
                <w:szCs w:val="24"/>
              </w:rPr>
              <w:t xml:space="preserve"> –</w:t>
            </w:r>
            <w:r w:rsidR="00633C44" w:rsidRPr="00BA4535">
              <w:rPr>
                <w:sz w:val="24"/>
                <w:szCs w:val="24"/>
              </w:rPr>
              <w:t>І</w:t>
            </w:r>
            <w:r w:rsidR="00B10D95" w:rsidRPr="00BA4535">
              <w:rPr>
                <w:sz w:val="24"/>
                <w:szCs w:val="24"/>
              </w:rPr>
              <w:t>нформаційно-вимірювальн</w:t>
            </w:r>
            <w:r w:rsidR="00633C44" w:rsidRPr="00BA4535">
              <w:rPr>
                <w:sz w:val="24"/>
                <w:szCs w:val="24"/>
              </w:rPr>
              <w:t>і</w:t>
            </w:r>
            <w:r w:rsidR="00B10D95" w:rsidRPr="00BA4535">
              <w:rPr>
                <w:sz w:val="24"/>
                <w:szCs w:val="24"/>
              </w:rPr>
              <w:t xml:space="preserve"> техн</w:t>
            </w:r>
            <w:r w:rsidR="00633C44" w:rsidRPr="00BA4535">
              <w:rPr>
                <w:sz w:val="24"/>
                <w:szCs w:val="24"/>
              </w:rPr>
              <w:t>ології</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Назва освітньої програми</w:t>
            </w:r>
          </w:p>
        </w:tc>
        <w:tc>
          <w:tcPr>
            <w:tcW w:w="6804" w:type="dxa"/>
            <w:shd w:val="clear" w:color="auto" w:fill="auto"/>
            <w:vAlign w:val="center"/>
          </w:tcPr>
          <w:p w:rsidR="00C43818" w:rsidRPr="00BA4535" w:rsidRDefault="00633C44" w:rsidP="00E93257">
            <w:pPr>
              <w:rPr>
                <w:sz w:val="24"/>
                <w:szCs w:val="24"/>
              </w:rPr>
            </w:pPr>
            <w:r w:rsidRPr="00BA4535">
              <w:rPr>
                <w:sz w:val="24"/>
                <w:szCs w:val="24"/>
              </w:rPr>
              <w:t>Інформаційно-вимірювальні технології та інженерія якості</w:t>
            </w:r>
          </w:p>
        </w:tc>
      </w:tr>
      <w:tr w:rsidR="00BA4535" w:rsidRPr="00BA4535">
        <w:trPr>
          <w:jc w:val="center"/>
        </w:trPr>
        <w:tc>
          <w:tcPr>
            <w:tcW w:w="2518" w:type="dxa"/>
            <w:shd w:val="clear" w:color="auto" w:fill="auto"/>
          </w:tcPr>
          <w:p w:rsidR="00C43818" w:rsidRPr="00BA4535" w:rsidRDefault="005066DF" w:rsidP="00C43818">
            <w:pPr>
              <w:rPr>
                <w:b/>
                <w:sz w:val="22"/>
                <w:szCs w:val="22"/>
              </w:rPr>
            </w:pPr>
            <w:r w:rsidRPr="00BA4535">
              <w:rPr>
                <w:b/>
                <w:sz w:val="22"/>
                <w:szCs w:val="22"/>
              </w:rPr>
              <w:t>Освітній ступінь</w:t>
            </w:r>
          </w:p>
        </w:tc>
        <w:tc>
          <w:tcPr>
            <w:tcW w:w="6804" w:type="dxa"/>
            <w:shd w:val="clear" w:color="auto" w:fill="auto"/>
            <w:vAlign w:val="center"/>
          </w:tcPr>
          <w:p w:rsidR="00C43818" w:rsidRPr="00BA4535" w:rsidRDefault="00E93257" w:rsidP="00E93257">
            <w:pPr>
              <w:rPr>
                <w:sz w:val="24"/>
                <w:szCs w:val="24"/>
              </w:rPr>
            </w:pPr>
            <w:r w:rsidRPr="00BA4535">
              <w:rPr>
                <w:sz w:val="24"/>
                <w:szCs w:val="24"/>
              </w:rPr>
              <w:t>Перший</w:t>
            </w:r>
            <w:r w:rsidR="00C43818" w:rsidRPr="00BA4535">
              <w:rPr>
                <w:sz w:val="24"/>
                <w:szCs w:val="24"/>
              </w:rPr>
              <w:t xml:space="preserve"> (</w:t>
            </w:r>
            <w:r w:rsidRPr="00BA4535">
              <w:rPr>
                <w:sz w:val="24"/>
                <w:szCs w:val="24"/>
              </w:rPr>
              <w:t>бакалаврський</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Обсяг дисципліни</w:t>
            </w:r>
          </w:p>
          <w:p w:rsidR="005066DF" w:rsidRPr="00BA4535" w:rsidRDefault="005066DF" w:rsidP="00C43818">
            <w:pPr>
              <w:rPr>
                <w:sz w:val="22"/>
                <w:szCs w:val="22"/>
              </w:rPr>
            </w:pPr>
            <w:r w:rsidRPr="00BA4535">
              <w:rPr>
                <w:sz w:val="22"/>
                <w:szCs w:val="22"/>
              </w:rPr>
              <w:t>(кредитів ЄКТС)</w:t>
            </w:r>
          </w:p>
        </w:tc>
        <w:tc>
          <w:tcPr>
            <w:tcW w:w="6804" w:type="dxa"/>
            <w:shd w:val="clear" w:color="auto" w:fill="auto"/>
            <w:vAlign w:val="center"/>
          </w:tcPr>
          <w:p w:rsidR="00C43818" w:rsidRPr="00BA4535" w:rsidRDefault="00633C44" w:rsidP="005066DF">
            <w:pPr>
              <w:rPr>
                <w:sz w:val="24"/>
                <w:szCs w:val="24"/>
              </w:rPr>
            </w:pPr>
            <w:r w:rsidRPr="00BA4535">
              <w:rPr>
                <w:sz w:val="24"/>
                <w:szCs w:val="24"/>
              </w:rPr>
              <w:t>9</w:t>
            </w:r>
            <w:r w:rsidR="00E93257" w:rsidRPr="00BA4535">
              <w:rPr>
                <w:sz w:val="24"/>
                <w:szCs w:val="24"/>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Терміни вивчення</w:t>
            </w:r>
          </w:p>
          <w:p w:rsidR="00C43818" w:rsidRPr="00BA4535" w:rsidRDefault="00C43818" w:rsidP="00C43818">
            <w:pPr>
              <w:rPr>
                <w:b/>
                <w:sz w:val="22"/>
                <w:szCs w:val="22"/>
              </w:rPr>
            </w:pPr>
            <w:r w:rsidRPr="00BA4535">
              <w:rPr>
                <w:b/>
                <w:sz w:val="22"/>
                <w:szCs w:val="22"/>
              </w:rPr>
              <w:t>дисципліни</w:t>
            </w:r>
          </w:p>
        </w:tc>
        <w:tc>
          <w:tcPr>
            <w:tcW w:w="6804" w:type="dxa"/>
            <w:shd w:val="clear" w:color="auto" w:fill="auto"/>
            <w:vAlign w:val="center"/>
          </w:tcPr>
          <w:p w:rsidR="00C43818" w:rsidRPr="00BA4535" w:rsidRDefault="00206D2B" w:rsidP="00206D2B">
            <w:pPr>
              <w:rPr>
                <w:sz w:val="24"/>
                <w:szCs w:val="24"/>
              </w:rPr>
            </w:pPr>
            <w:r w:rsidRPr="00BA4535">
              <w:rPr>
                <w:sz w:val="24"/>
                <w:szCs w:val="24"/>
              </w:rPr>
              <w:t>5</w:t>
            </w:r>
            <w:r w:rsidR="00E23E48" w:rsidRPr="00BA4535">
              <w:rPr>
                <w:sz w:val="24"/>
                <w:szCs w:val="24"/>
              </w:rPr>
              <w:t xml:space="preserve">, </w:t>
            </w:r>
            <w:r w:rsidRPr="00BA4535">
              <w:rPr>
                <w:sz w:val="24"/>
                <w:szCs w:val="24"/>
              </w:rPr>
              <w:t>6</w:t>
            </w:r>
            <w:r w:rsidR="00E23E48" w:rsidRPr="00BA4535">
              <w:rPr>
                <w:sz w:val="24"/>
                <w:szCs w:val="24"/>
              </w:rPr>
              <w:t xml:space="preserve"> </w:t>
            </w:r>
            <w:r w:rsidR="00C43818" w:rsidRPr="00BA4535">
              <w:rPr>
                <w:sz w:val="24"/>
                <w:szCs w:val="24"/>
              </w:rPr>
              <w:t>семестр</w:t>
            </w:r>
            <w:r w:rsidR="00E23E48" w:rsidRPr="00BA4535">
              <w:rPr>
                <w:sz w:val="24"/>
                <w:szCs w:val="24"/>
              </w:rPr>
              <w:t>и</w:t>
            </w:r>
            <w:r w:rsidR="00C43818" w:rsidRPr="00BA4535">
              <w:rPr>
                <w:sz w:val="24"/>
                <w:szCs w:val="24"/>
              </w:rPr>
              <w:t xml:space="preserve"> </w:t>
            </w:r>
            <w:r w:rsidR="00B10D95" w:rsidRPr="00BA4535">
              <w:rPr>
                <w:sz w:val="24"/>
                <w:szCs w:val="24"/>
              </w:rPr>
              <w:t>(півсеместр</w:t>
            </w:r>
            <w:r w:rsidR="001659F2" w:rsidRPr="00BA4535">
              <w:rPr>
                <w:sz w:val="24"/>
                <w:szCs w:val="24"/>
              </w:rPr>
              <w:t>и</w:t>
            </w:r>
            <w:r w:rsidR="00B10D95" w:rsidRPr="00BA4535">
              <w:rPr>
                <w:sz w:val="24"/>
                <w:szCs w:val="24"/>
              </w:rPr>
              <w:t xml:space="preserve"> </w:t>
            </w:r>
            <w:r w:rsidRPr="00BA4535">
              <w:rPr>
                <w:sz w:val="24"/>
                <w:szCs w:val="24"/>
              </w:rPr>
              <w:t>9</w:t>
            </w:r>
            <w:r w:rsidR="00306FD4" w:rsidRPr="00BA4535">
              <w:rPr>
                <w:sz w:val="24"/>
                <w:szCs w:val="24"/>
              </w:rPr>
              <w:t>,</w:t>
            </w:r>
            <w:r w:rsidRPr="00BA4535">
              <w:rPr>
                <w:sz w:val="24"/>
                <w:szCs w:val="24"/>
              </w:rPr>
              <w:t xml:space="preserve"> 10</w:t>
            </w:r>
            <w:r w:rsidR="00306FD4" w:rsidRPr="00BA4535">
              <w:rPr>
                <w:sz w:val="24"/>
                <w:szCs w:val="24"/>
              </w:rPr>
              <w:t>,</w:t>
            </w:r>
            <w:r w:rsidRPr="00BA4535">
              <w:rPr>
                <w:sz w:val="24"/>
                <w:szCs w:val="24"/>
              </w:rPr>
              <w:t xml:space="preserve"> 11</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5066DF">
            <w:pPr>
              <w:rPr>
                <w:b/>
                <w:sz w:val="22"/>
                <w:szCs w:val="22"/>
              </w:rPr>
            </w:pPr>
            <w:r w:rsidRPr="00BA4535">
              <w:rPr>
                <w:b/>
                <w:sz w:val="22"/>
                <w:szCs w:val="22"/>
              </w:rPr>
              <w:t>Назва кафедри, яка викладає дисципліну</w:t>
            </w:r>
            <w:r w:rsidR="005066DF" w:rsidRPr="00BA4535">
              <w:rPr>
                <w:b/>
                <w:sz w:val="22"/>
                <w:szCs w:val="22"/>
              </w:rPr>
              <w:t>, абревіатурне позначення</w:t>
            </w:r>
          </w:p>
        </w:tc>
        <w:tc>
          <w:tcPr>
            <w:tcW w:w="6804" w:type="dxa"/>
            <w:shd w:val="clear" w:color="auto" w:fill="auto"/>
            <w:vAlign w:val="center"/>
          </w:tcPr>
          <w:p w:rsidR="00C43818" w:rsidRPr="00BA4535" w:rsidRDefault="00B10D95" w:rsidP="00B10D95">
            <w:pPr>
              <w:rPr>
                <w:sz w:val="24"/>
                <w:szCs w:val="24"/>
              </w:rPr>
            </w:pPr>
            <w:r w:rsidRPr="00BA4535">
              <w:rPr>
                <w:sz w:val="24"/>
                <w:szCs w:val="24"/>
              </w:rPr>
              <w:t>Систем якості, стандартизації та метрології</w:t>
            </w:r>
            <w:r w:rsidR="00C43818" w:rsidRPr="00BA4535">
              <w:rPr>
                <w:sz w:val="24"/>
                <w:szCs w:val="24"/>
              </w:rPr>
              <w:t xml:space="preserve"> (</w:t>
            </w:r>
            <w:r w:rsidRPr="00BA4535">
              <w:rPr>
                <w:sz w:val="24"/>
                <w:szCs w:val="24"/>
              </w:rPr>
              <w:t>СЯСМ</w:t>
            </w:r>
            <w:r w:rsidR="00C43818" w:rsidRPr="00BA4535">
              <w:rPr>
                <w:sz w:val="24"/>
                <w:szCs w:val="24"/>
              </w:rPr>
              <w:t>)</w:t>
            </w:r>
          </w:p>
        </w:tc>
      </w:tr>
      <w:tr w:rsidR="00C43818" w:rsidRPr="00BA4535">
        <w:trPr>
          <w:jc w:val="center"/>
        </w:trPr>
        <w:tc>
          <w:tcPr>
            <w:tcW w:w="2518" w:type="dxa"/>
            <w:shd w:val="clear" w:color="auto" w:fill="auto"/>
          </w:tcPr>
          <w:p w:rsidR="00C43818" w:rsidRPr="00BA4535" w:rsidRDefault="00C43818" w:rsidP="00C43818">
            <w:pPr>
              <w:rPr>
                <w:sz w:val="22"/>
                <w:szCs w:val="22"/>
              </w:rPr>
            </w:pPr>
            <w:r w:rsidRPr="00BA4535">
              <w:rPr>
                <w:sz w:val="22"/>
                <w:szCs w:val="22"/>
              </w:rPr>
              <w:t>Мова викладання</w:t>
            </w:r>
          </w:p>
        </w:tc>
        <w:tc>
          <w:tcPr>
            <w:tcW w:w="6804" w:type="dxa"/>
            <w:shd w:val="clear" w:color="auto" w:fill="auto"/>
            <w:vAlign w:val="center"/>
          </w:tcPr>
          <w:p w:rsidR="00C43818" w:rsidRPr="00BA4535" w:rsidRDefault="00C43818" w:rsidP="00C43818">
            <w:pPr>
              <w:rPr>
                <w:sz w:val="24"/>
                <w:szCs w:val="24"/>
              </w:rPr>
            </w:pPr>
            <w:r w:rsidRPr="00BA4535">
              <w:rPr>
                <w:sz w:val="24"/>
                <w:szCs w:val="24"/>
              </w:rPr>
              <w:t>Українська</w:t>
            </w:r>
          </w:p>
        </w:tc>
      </w:tr>
    </w:tbl>
    <w:p w:rsidR="002E527B" w:rsidRPr="00BA4535" w:rsidRDefault="002E527B" w:rsidP="00C43818">
      <w:pPr>
        <w:overflowPunct w:val="0"/>
        <w:textAlignment w:val="baseline"/>
        <w:rPr>
          <w:i/>
        </w:rPr>
      </w:pPr>
    </w:p>
    <w:p w:rsidR="00306FD4" w:rsidRPr="00BA4535" w:rsidRDefault="00306FD4" w:rsidP="00306FD4">
      <w:pPr>
        <w:rPr>
          <w:b/>
          <w:bCs/>
          <w:sz w:val="24"/>
          <w:szCs w:val="24"/>
        </w:rPr>
      </w:pPr>
      <w:r w:rsidRPr="00BA4535">
        <w:rPr>
          <w:b/>
          <w:bCs/>
          <w:sz w:val="24"/>
          <w:szCs w:val="24"/>
        </w:rPr>
        <w:t>Лектор ( викладач(і))</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954"/>
      </w:tblGrid>
      <w:tr w:rsidR="00BA4535" w:rsidRPr="00BA4535" w:rsidTr="00DA4F0E">
        <w:trPr>
          <w:trHeight w:val="551"/>
        </w:trPr>
        <w:tc>
          <w:tcPr>
            <w:tcW w:w="3402" w:type="dxa"/>
            <w:vMerge w:val="restart"/>
            <w:vAlign w:val="center"/>
          </w:tcPr>
          <w:p w:rsidR="00306FD4" w:rsidRPr="00BA4535" w:rsidRDefault="00306FD4" w:rsidP="00DA4F0E">
            <w:pPr>
              <w:jc w:val="center"/>
              <w:rPr>
                <w:b/>
                <w:bCs/>
                <w:sz w:val="24"/>
                <w:szCs w:val="24"/>
              </w:rPr>
            </w:pPr>
            <w:r w:rsidRPr="00BA4535">
              <w:rPr>
                <w:noProof/>
                <w:sz w:val="24"/>
                <w:szCs w:val="24"/>
                <w:lang w:val="en-US" w:eastAsia="en-US"/>
              </w:rPr>
              <w:drawing>
                <wp:anchor distT="0" distB="0" distL="114300" distR="114300" simplePos="0" relativeHeight="251661312" behindDoc="1" locked="0" layoutInCell="1" allowOverlap="1" wp14:anchorId="519D6C13" wp14:editId="1F47FAA8">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535">
              <w:rPr>
                <w:b/>
                <w:bCs/>
                <w:sz w:val="24"/>
                <w:szCs w:val="24"/>
              </w:rPr>
              <w:t>Фото</w:t>
            </w:r>
          </w:p>
          <w:p w:rsidR="00306FD4" w:rsidRPr="00BA4535" w:rsidRDefault="00306FD4" w:rsidP="00DA4F0E">
            <w:pPr>
              <w:jc w:val="center"/>
              <w:rPr>
                <w:b/>
                <w:bCs/>
                <w:sz w:val="24"/>
                <w:szCs w:val="24"/>
              </w:rPr>
            </w:pPr>
            <w:r w:rsidRPr="00BA4535">
              <w:rPr>
                <w:b/>
                <w:bCs/>
                <w:sz w:val="24"/>
                <w:szCs w:val="24"/>
              </w:rPr>
              <w:t>(за бажанням)</w:t>
            </w:r>
          </w:p>
        </w:tc>
        <w:tc>
          <w:tcPr>
            <w:tcW w:w="5954" w:type="dxa"/>
          </w:tcPr>
          <w:p w:rsidR="00306FD4" w:rsidRPr="00BA4535" w:rsidRDefault="00306FD4" w:rsidP="00DA4F0E">
            <w:pPr>
              <w:rPr>
                <w:sz w:val="24"/>
                <w:szCs w:val="24"/>
              </w:rPr>
            </w:pPr>
            <w:r w:rsidRPr="00BA4535">
              <w:rPr>
                <w:sz w:val="24"/>
                <w:szCs w:val="24"/>
              </w:rPr>
              <w:t>Канд. техн. наук, доцент Полякова Наталія Володимирівна</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Корпоративний Е-mail: n.v.polyakova@ust.edu.ua</w:t>
            </w:r>
          </w:p>
          <w:p w:rsidR="00306FD4" w:rsidRPr="00BA4535" w:rsidRDefault="00306FD4" w:rsidP="00DA4F0E">
            <w:pPr>
              <w:rPr>
                <w:sz w:val="24"/>
                <w:szCs w:val="24"/>
              </w:rPr>
            </w:pPr>
            <w:r w:rsidRPr="00BA4535">
              <w:rPr>
                <w:sz w:val="24"/>
                <w:szCs w:val="24"/>
              </w:rPr>
              <w:t xml:space="preserve">e-mail: </w:t>
            </w:r>
            <w:hyperlink r:id="rId9" w:history="1">
              <w:r w:rsidRPr="00BA4535">
                <w:rPr>
                  <w:rStyle w:val="a4"/>
                  <w:color w:val="auto"/>
                  <w:sz w:val="24"/>
                  <w:szCs w:val="24"/>
                </w:rPr>
                <w:t>lija618nat@ua.fm</w:t>
              </w:r>
            </w:hyperlink>
            <w:r w:rsidRPr="00BA4535">
              <w:rPr>
                <w:sz w:val="24"/>
                <w:szCs w:val="24"/>
              </w:rPr>
              <w:t xml:space="preserve">    </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Лінк на персональну сторінку викладача на сайті кафедри https://nmetau.edu.ua/ru/mdiv/i2037/p-2/e2247</w:t>
            </w:r>
          </w:p>
        </w:tc>
      </w:tr>
      <w:tr w:rsidR="00BA4535" w:rsidRPr="00BA4535" w:rsidTr="00DA4F0E">
        <w:trPr>
          <w:trHeight w:val="383"/>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 xml:space="preserve">Лінк на дисципліну (за наявністю) </w:t>
            </w:r>
          </w:p>
        </w:tc>
      </w:tr>
      <w:tr w:rsidR="00306FD4" w:rsidRPr="00BA4535" w:rsidTr="00DA4F0E">
        <w:trPr>
          <w:trHeight w:val="645"/>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Пр. Гагаріна, 4, кімн. 282</w:t>
            </w:r>
          </w:p>
        </w:tc>
      </w:tr>
    </w:tbl>
    <w:p w:rsidR="00306FD4" w:rsidRPr="00BA4535" w:rsidRDefault="00306FD4" w:rsidP="00306FD4">
      <w:pPr>
        <w:rPr>
          <w:b/>
          <w:bCs/>
          <w:sz w:val="24"/>
          <w:szCs w:val="24"/>
        </w:rPr>
      </w:pPr>
    </w:p>
    <w:p w:rsidR="00306FD4" w:rsidRPr="00BA4535" w:rsidRDefault="00306FD4" w:rsidP="00AB25A1">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rsidTr="00867275">
        <w:trPr>
          <w:jc w:val="center"/>
        </w:trPr>
        <w:tc>
          <w:tcPr>
            <w:tcW w:w="2518" w:type="dxa"/>
            <w:shd w:val="clear" w:color="auto" w:fill="auto"/>
          </w:tcPr>
          <w:p w:rsidR="00AB25A1" w:rsidRPr="00BA4535" w:rsidRDefault="00AB25A1" w:rsidP="00867275">
            <w:pPr>
              <w:rPr>
                <w:b/>
                <w:sz w:val="22"/>
                <w:szCs w:val="22"/>
              </w:rPr>
            </w:pPr>
            <w:r w:rsidRPr="00BA4535">
              <w:rPr>
                <w:b/>
                <w:sz w:val="22"/>
                <w:szCs w:val="22"/>
              </w:rPr>
              <w:t>Передумови вивчення дисципліни</w:t>
            </w:r>
          </w:p>
        </w:tc>
        <w:tc>
          <w:tcPr>
            <w:tcW w:w="6804" w:type="dxa"/>
            <w:shd w:val="clear" w:color="auto" w:fill="auto"/>
          </w:tcPr>
          <w:p w:rsidR="00AB25A1" w:rsidRPr="00BA4535" w:rsidRDefault="00725831" w:rsidP="00725831">
            <w:pPr>
              <w:pStyle w:val="Default"/>
              <w:ind w:firstLine="709"/>
              <w:jc w:val="both"/>
              <w:rPr>
                <w:color w:val="auto"/>
                <w:lang w:val="uk-UA"/>
              </w:rPr>
            </w:pPr>
            <w:r w:rsidRPr="00BA4535">
              <w:rPr>
                <w:color w:val="auto"/>
                <w:lang w:val="uk-UA"/>
              </w:rPr>
              <w:t>Передумовами для вивчення дисципліни є наявність загальної та технічної культури, побутове розуміння категорій «товар», «продукція», «послуга», «експертиза», попереднє опанування дисципліни Циклу загальної підготовки «Історія та культура України»), загально-наукових та загально-технічних дисциплін Циклу професійної підготовки («Вища математика», «Фізика», «Алгоритмізація та програмування»), а також дисциплін «Методи та засоби вимірювань та контролю», «Основи системного аналізу», «Вимірювальні перетворювачі», «Якість сучасних матеріалів».</w:t>
            </w:r>
          </w:p>
        </w:tc>
      </w:tr>
      <w:tr w:rsidR="00BA4535" w:rsidRPr="00BA4535" w:rsidTr="00867275">
        <w:trPr>
          <w:jc w:val="center"/>
        </w:trPr>
        <w:tc>
          <w:tcPr>
            <w:tcW w:w="2518" w:type="dxa"/>
            <w:shd w:val="clear" w:color="auto" w:fill="auto"/>
          </w:tcPr>
          <w:p w:rsidR="00AB25A1" w:rsidRPr="00BA4535" w:rsidRDefault="00AB25A1" w:rsidP="00867275">
            <w:pPr>
              <w:rPr>
                <w:b/>
                <w:sz w:val="24"/>
                <w:szCs w:val="24"/>
              </w:rPr>
            </w:pPr>
            <w:r w:rsidRPr="00BA4535">
              <w:rPr>
                <w:b/>
                <w:sz w:val="24"/>
                <w:szCs w:val="24"/>
              </w:rPr>
              <w:lastRenderedPageBreak/>
              <w:t>Мета навчальної дисципліни</w:t>
            </w:r>
          </w:p>
        </w:tc>
        <w:tc>
          <w:tcPr>
            <w:tcW w:w="6804" w:type="dxa"/>
            <w:shd w:val="clear" w:color="auto" w:fill="auto"/>
          </w:tcPr>
          <w:p w:rsidR="00AB25A1" w:rsidRPr="00BA4535" w:rsidRDefault="00725831" w:rsidP="00725831">
            <w:pPr>
              <w:pStyle w:val="Default"/>
              <w:ind w:firstLine="709"/>
              <w:jc w:val="both"/>
              <w:rPr>
                <w:bCs/>
                <w:color w:val="auto"/>
                <w:lang w:val="uk-UA"/>
              </w:rPr>
            </w:pPr>
            <w:r w:rsidRPr="00BA4535">
              <w:rPr>
                <w:bCs/>
                <w:color w:val="auto"/>
                <w:lang w:val="uk-UA"/>
              </w:rPr>
              <w:t>Засвоєння первинних знань та придбання навичок, необхідних для виконання робіт, що пов’язані із товарознавчою діяльністю, яка базується на контролі та оцінці якості споживчих властивостей продукції та послуг із застосуванням прийомів інформаційно-вимірювальних технологій.</w:t>
            </w:r>
          </w:p>
        </w:tc>
      </w:tr>
      <w:tr w:rsidR="00BA4535" w:rsidRPr="00BA4535" w:rsidTr="00470BED">
        <w:trPr>
          <w:trHeight w:val="207"/>
          <w:jc w:val="center"/>
        </w:trPr>
        <w:tc>
          <w:tcPr>
            <w:tcW w:w="2518" w:type="dxa"/>
            <w:vMerge w:val="restart"/>
            <w:shd w:val="clear" w:color="auto" w:fill="auto"/>
          </w:tcPr>
          <w:p w:rsidR="00306FD4" w:rsidRPr="00BA4535" w:rsidRDefault="00306FD4" w:rsidP="00306FD4">
            <w:pPr>
              <w:rPr>
                <w:b/>
                <w:sz w:val="24"/>
                <w:szCs w:val="24"/>
              </w:rPr>
            </w:pPr>
            <w:r w:rsidRPr="00BA4535">
              <w:rPr>
                <w:b/>
                <w:sz w:val="24"/>
                <w:szCs w:val="24"/>
              </w:rPr>
              <w:t>Очікувані результати навчання</w:t>
            </w:r>
          </w:p>
        </w:tc>
        <w:tc>
          <w:tcPr>
            <w:tcW w:w="6804" w:type="dxa"/>
            <w:shd w:val="clear" w:color="auto" w:fill="auto"/>
          </w:tcPr>
          <w:p w:rsidR="00306FD4" w:rsidRPr="00BA4535" w:rsidRDefault="00306FD4" w:rsidP="00306FD4">
            <w:pPr>
              <w:jc w:val="both"/>
              <w:rPr>
                <w:sz w:val="24"/>
                <w:szCs w:val="24"/>
              </w:rPr>
            </w:pPr>
            <w:r w:rsidRPr="00BA4535">
              <w:rPr>
                <w:sz w:val="24"/>
                <w:szCs w:val="24"/>
              </w:rPr>
              <w:t xml:space="preserve">ОРН1 </w:t>
            </w:r>
            <w:r w:rsidR="00725831" w:rsidRPr="00BA4535">
              <w:rPr>
                <w:sz w:val="24"/>
                <w:szCs w:val="24"/>
              </w:rPr>
              <w:t>Ідентифікувати основні поняття та категорії товарознавчої діяльності, встановлювати зв’язки між ними.</w:t>
            </w:r>
          </w:p>
        </w:tc>
      </w:tr>
      <w:tr w:rsidR="00BA4535" w:rsidRPr="00BA4535" w:rsidTr="00470BED">
        <w:trPr>
          <w:trHeight w:val="206"/>
          <w:jc w:val="center"/>
        </w:trPr>
        <w:tc>
          <w:tcPr>
            <w:tcW w:w="2518" w:type="dxa"/>
            <w:vMerge/>
            <w:shd w:val="clear" w:color="auto" w:fill="auto"/>
          </w:tcPr>
          <w:p w:rsidR="00306FD4" w:rsidRPr="00BA4535" w:rsidRDefault="00306FD4" w:rsidP="00306FD4">
            <w:pPr>
              <w:rPr>
                <w:sz w:val="24"/>
                <w:szCs w:val="24"/>
              </w:rPr>
            </w:pPr>
          </w:p>
        </w:tc>
        <w:tc>
          <w:tcPr>
            <w:tcW w:w="6804" w:type="dxa"/>
            <w:shd w:val="clear" w:color="auto" w:fill="auto"/>
          </w:tcPr>
          <w:p w:rsidR="00306FD4" w:rsidRPr="00BA4535" w:rsidRDefault="00306FD4" w:rsidP="00306FD4">
            <w:pPr>
              <w:jc w:val="both"/>
              <w:rPr>
                <w:sz w:val="24"/>
                <w:szCs w:val="24"/>
              </w:rPr>
            </w:pPr>
            <w:r w:rsidRPr="00BA4535">
              <w:rPr>
                <w:sz w:val="24"/>
                <w:szCs w:val="24"/>
              </w:rPr>
              <w:t xml:space="preserve">ОРН2 </w:t>
            </w:r>
            <w:r w:rsidR="00725831" w:rsidRPr="00BA4535">
              <w:rPr>
                <w:sz w:val="24"/>
                <w:szCs w:val="24"/>
              </w:rPr>
              <w:t xml:space="preserve">Поясняти та класифікувати </w:t>
            </w:r>
            <w:r w:rsidR="00725831" w:rsidRPr="00BA4535">
              <w:rPr>
                <w:bCs/>
                <w:sz w:val="24"/>
                <w:szCs w:val="24"/>
              </w:rPr>
              <w:t>основні поняття, принципи, методи та інструменти товарознавства і товарознавчої діяльності.</w:t>
            </w:r>
          </w:p>
        </w:tc>
      </w:tr>
      <w:tr w:rsidR="00BA4535" w:rsidRPr="00BA4535" w:rsidTr="00A23BE0">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vAlign w:val="center"/>
          </w:tcPr>
          <w:p w:rsidR="00725831" w:rsidRPr="00BA4535" w:rsidRDefault="00725831" w:rsidP="00725831">
            <w:pPr>
              <w:pStyle w:val="Default"/>
              <w:jc w:val="both"/>
              <w:rPr>
                <w:color w:val="auto"/>
                <w:lang w:val="uk-UA"/>
              </w:rPr>
            </w:pPr>
            <w:r w:rsidRPr="00BA4535">
              <w:rPr>
                <w:bCs/>
                <w:color w:val="auto"/>
                <w:lang w:val="uk-UA"/>
              </w:rPr>
              <w:t>ОРН3 Застосовувати сучасні теоретичні знання і практичні навички, необхідні для розв’язання завдань забезпечення та збереження якості товарів (послуг) у будь-якій предметній області економічної діяльності з використанням інформаційно-вимірювальних технологій та новітніх нормативних документів.</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ОРН4 </w:t>
            </w:r>
            <w:r w:rsidRPr="00BA4535">
              <w:rPr>
                <w:bCs/>
                <w:sz w:val="24"/>
                <w:szCs w:val="24"/>
              </w:rPr>
              <w:t>Застосовувати методичні та нормативні документи, що стосуються ідентифікації, забезпечення та збереження якості продукції та послуг в процесі товароруху.</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ОРН5 </w:t>
            </w:r>
            <w:r w:rsidRPr="00BA4535">
              <w:rPr>
                <w:bCs/>
                <w:sz w:val="24"/>
                <w:szCs w:val="24"/>
              </w:rPr>
              <w:t>Оцінювати стан збереження споживчих властивостей товарів в процесі пересування від виробника до споживача.</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ОРН6 </w:t>
            </w:r>
            <w:r w:rsidRPr="00BA4535">
              <w:rPr>
                <w:bCs/>
                <w:sz w:val="24"/>
                <w:szCs w:val="24"/>
              </w:rPr>
              <w:t>Класифікувати асортиментні групи товарів та послуг та здійснювати їх впорядковування за сортністю та номенклатурою.</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ОРН7 </w:t>
            </w:r>
            <w:r w:rsidRPr="00BA4535">
              <w:rPr>
                <w:bCs/>
                <w:sz w:val="24"/>
                <w:szCs w:val="24"/>
              </w:rPr>
              <w:t>Планувати товарознавчу діяльність щодо конкретних представників товарів (послуг)</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ОРН8 </w:t>
            </w:r>
            <w:r w:rsidRPr="00BA4535">
              <w:rPr>
                <w:bCs/>
                <w:sz w:val="24"/>
                <w:szCs w:val="24"/>
              </w:rPr>
              <w:t>Оцінювати експертними методами якість товарів та послуг, здійснювати їх ідентифікацію та виявляти фальсифікацію.</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ОРН9 </w:t>
            </w:r>
            <w:r w:rsidRPr="00BA4535">
              <w:rPr>
                <w:bCs/>
                <w:sz w:val="24"/>
                <w:szCs w:val="24"/>
              </w:rPr>
              <w:t>Узагальнювати потреби споживачів у продовольчих та непродовольчих товарах та послугах.</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Зміст дисципліни</w:t>
            </w:r>
          </w:p>
        </w:tc>
        <w:tc>
          <w:tcPr>
            <w:tcW w:w="6804" w:type="dxa"/>
            <w:shd w:val="clear" w:color="auto" w:fill="auto"/>
          </w:tcPr>
          <w:p w:rsidR="00725831" w:rsidRPr="00BA4535" w:rsidRDefault="00725831" w:rsidP="00725831">
            <w:pPr>
              <w:pStyle w:val="Default"/>
              <w:rPr>
                <w:color w:val="auto"/>
                <w:lang w:val="uk-UA"/>
              </w:rPr>
            </w:pPr>
            <w:r w:rsidRPr="00BA4535">
              <w:rPr>
                <w:color w:val="auto"/>
                <w:lang w:val="uk-UA"/>
              </w:rPr>
              <w:t xml:space="preserve">Розділ 1. </w:t>
            </w:r>
            <w:r w:rsidRPr="00BA4535">
              <w:rPr>
                <w:color w:val="auto"/>
                <w:lang w:val="uk-UA" w:eastAsia="uk-UA"/>
              </w:rPr>
              <w:t>Потреби споживачів, споживання та якість товарів</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Розділ 2.</w:t>
            </w:r>
            <w:r w:rsidRPr="00BA4535">
              <w:rPr>
                <w:color w:val="auto"/>
                <w:lang w:val="uk-UA" w:eastAsia="en-US"/>
              </w:rPr>
              <w:t>Теоретичні засади товарознавства</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3. </w:t>
            </w:r>
            <w:r w:rsidRPr="00BA4535">
              <w:rPr>
                <w:color w:val="auto"/>
                <w:lang w:val="uk-UA" w:eastAsia="uk-UA"/>
              </w:rPr>
              <w:t>Методи та інструменти товарознавства</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4. </w:t>
            </w:r>
            <w:r w:rsidRPr="00BA4535">
              <w:rPr>
                <w:color w:val="auto"/>
                <w:lang w:val="uk-UA" w:eastAsia="en-US"/>
              </w:rPr>
              <w:t>Натуральні та споживчі характеристики товарів</w:t>
            </w:r>
          </w:p>
          <w:p w:rsidR="00725831" w:rsidRPr="00BA4535" w:rsidRDefault="00725831" w:rsidP="00725831">
            <w:pPr>
              <w:pStyle w:val="Default"/>
              <w:rPr>
                <w:color w:val="auto"/>
                <w:lang w:val="uk-UA"/>
              </w:rPr>
            </w:pPr>
            <w:r w:rsidRPr="00BA4535">
              <w:rPr>
                <w:color w:val="auto"/>
                <w:lang w:val="uk-UA"/>
              </w:rPr>
              <w:t xml:space="preserve">Розділ 5. </w:t>
            </w:r>
            <w:r w:rsidRPr="00BA4535">
              <w:rPr>
                <w:bCs/>
                <w:color w:val="auto"/>
                <w:lang w:val="uk-UA" w:eastAsia="en-US"/>
              </w:rPr>
              <w:t>Класифікація і кодування товарів</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6. </w:t>
            </w:r>
            <w:r w:rsidRPr="00BA4535">
              <w:rPr>
                <w:color w:val="auto"/>
                <w:lang w:val="uk-UA" w:eastAsia="en-US"/>
              </w:rPr>
              <w:t>Основи експертизи продукції (товарів)</w:t>
            </w:r>
          </w:p>
          <w:p w:rsidR="00725831" w:rsidRPr="00BA4535" w:rsidRDefault="00725831" w:rsidP="00725831">
            <w:pPr>
              <w:pStyle w:val="Default"/>
              <w:rPr>
                <w:color w:val="auto"/>
                <w:lang w:val="uk-UA"/>
              </w:rPr>
            </w:pPr>
            <w:r w:rsidRPr="00BA4535">
              <w:rPr>
                <w:color w:val="auto"/>
                <w:lang w:val="uk-UA"/>
              </w:rPr>
              <w:t xml:space="preserve">Розділ 7. </w:t>
            </w:r>
            <w:r w:rsidRPr="00BA4535">
              <w:rPr>
                <w:color w:val="auto"/>
                <w:lang w:val="uk-UA" w:eastAsia="en-US"/>
              </w:rPr>
              <w:t>Упаковка та засоби товарної інформації</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8. </w:t>
            </w:r>
            <w:r w:rsidRPr="00BA4535">
              <w:rPr>
                <w:color w:val="auto"/>
                <w:lang w:val="uk-UA" w:eastAsia="en-US"/>
              </w:rPr>
              <w:t>Ідентифікація та оцінка властивостей товарів</w:t>
            </w:r>
          </w:p>
          <w:p w:rsidR="00725831" w:rsidRPr="00BA4535" w:rsidRDefault="00725831" w:rsidP="006C0233">
            <w:pPr>
              <w:pStyle w:val="Default"/>
              <w:rPr>
                <w:color w:val="auto"/>
                <w:lang w:val="uk-UA"/>
              </w:rPr>
            </w:pPr>
            <w:r w:rsidRPr="00BA4535">
              <w:rPr>
                <w:color w:val="auto"/>
                <w:lang w:val="uk-UA"/>
              </w:rPr>
              <w:t xml:space="preserve">Розділ 9. </w:t>
            </w:r>
            <w:r w:rsidRPr="00BA4535">
              <w:rPr>
                <w:color w:val="auto"/>
                <w:lang w:val="uk-UA" w:eastAsia="en-US"/>
              </w:rPr>
              <w:t>Транспортування, зберігання, простежуваність та збереження товарів</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Контрольні  заходи та критерії оцінювання</w:t>
            </w:r>
          </w:p>
        </w:tc>
        <w:tc>
          <w:tcPr>
            <w:tcW w:w="6804" w:type="dxa"/>
            <w:shd w:val="clear" w:color="auto" w:fill="auto"/>
          </w:tcPr>
          <w:p w:rsidR="00BA4535" w:rsidRPr="00BA4535" w:rsidRDefault="00BA4535" w:rsidP="00BA4535">
            <w:pPr>
              <w:pStyle w:val="Default"/>
              <w:shd w:val="clear" w:color="auto" w:fill="FFFFFF"/>
              <w:ind w:left="34" w:firstLine="159"/>
              <w:jc w:val="both"/>
              <w:rPr>
                <w:color w:val="auto"/>
                <w:lang w:val="uk-UA"/>
              </w:rPr>
            </w:pPr>
            <w:r w:rsidRPr="00BA4535">
              <w:rPr>
                <w:iCs/>
                <w:color w:val="auto"/>
                <w:lang w:val="uk-UA"/>
              </w:rPr>
              <w:t xml:space="preserve">Формою семестрового контролю з дисципліни є диференційований залік. </w:t>
            </w:r>
            <w:r w:rsidRPr="00BA4535">
              <w:rPr>
                <w:color w:val="auto"/>
                <w:lang w:val="uk-UA"/>
              </w:rPr>
              <w:t xml:space="preserve">Оцінювання кожного розділу здійснюється за </w:t>
            </w:r>
            <w:r w:rsidRPr="00BA4535">
              <w:rPr>
                <w:iCs/>
                <w:color w:val="auto"/>
                <w:lang w:val="uk-UA"/>
              </w:rPr>
              <w:t>шкалою, що прийнята в УДУНТ</w:t>
            </w:r>
            <w:r w:rsidRPr="00BA4535">
              <w:rPr>
                <w:color w:val="auto"/>
                <w:lang w:val="uk-UA"/>
              </w:rPr>
              <w:t xml:space="preserve">. </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С1 формується за результатами контрольної роботи РК1 як середнє арифметичне оцінок РО1…РО3.</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С2 формується за результатами контрольної роботи РК2 як середнє арифметичне оцінок РО4…РО9.</w:t>
            </w:r>
          </w:p>
          <w:p w:rsidR="00BA4535" w:rsidRPr="00BA4535" w:rsidRDefault="00BA4535" w:rsidP="00BA4535">
            <w:pPr>
              <w:pStyle w:val="Default"/>
              <w:ind w:firstLine="709"/>
              <w:jc w:val="both"/>
              <w:rPr>
                <w:iCs/>
                <w:color w:val="auto"/>
                <w:lang w:val="uk-UA"/>
              </w:rPr>
            </w:pPr>
            <w:r w:rsidRPr="00BA4535">
              <w:rPr>
                <w:iCs/>
                <w:color w:val="auto"/>
                <w:lang w:val="uk-UA"/>
              </w:rPr>
              <w:t xml:space="preserve">Необхідною умовою отримання позитивної оцінки з розділів 1…9 є відпрацювання та надання звіту з усіх практичних та лабораторних робіт та індивідуальних завдань </w:t>
            </w:r>
            <w:r w:rsidRPr="00BA4535">
              <w:rPr>
                <w:iCs/>
                <w:color w:val="auto"/>
                <w:lang w:val="uk-UA"/>
              </w:rPr>
              <w:lastRenderedPageBreak/>
              <w:t xml:space="preserve">(для студентів денної та заочної форм навчання) відповідного розділу. </w:t>
            </w:r>
          </w:p>
          <w:p w:rsidR="00BA4535" w:rsidRPr="00BA4535" w:rsidRDefault="00BA4535" w:rsidP="00BA4535">
            <w:pPr>
              <w:pStyle w:val="Default"/>
              <w:ind w:firstLine="709"/>
              <w:jc w:val="both"/>
              <w:rPr>
                <w:iCs/>
                <w:color w:val="auto"/>
                <w:lang w:val="uk-UA"/>
              </w:rPr>
            </w:pPr>
            <w:r w:rsidRPr="00BA4535">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BA4535" w:rsidRPr="00BA4535" w:rsidRDefault="00BA4535" w:rsidP="00BA4535">
            <w:pPr>
              <w:pStyle w:val="Default"/>
              <w:ind w:firstLine="709"/>
              <w:jc w:val="both"/>
              <w:rPr>
                <w:i/>
                <w:iCs/>
                <w:color w:val="auto"/>
                <w:lang w:val="uk-UA"/>
              </w:rPr>
            </w:pPr>
            <w:r w:rsidRPr="00BA4535">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BA4535">
              <w:rPr>
                <w:i/>
                <w:iCs/>
                <w:color w:val="auto"/>
                <w:lang w:val="uk-UA"/>
              </w:rPr>
              <w:t>.</w:t>
            </w:r>
          </w:p>
          <w:p w:rsidR="00725831" w:rsidRPr="00BA4535" w:rsidRDefault="00BA4535" w:rsidP="00BA4535">
            <w:pPr>
              <w:pStyle w:val="Default"/>
              <w:ind w:firstLine="709"/>
              <w:jc w:val="both"/>
              <w:rPr>
                <w:color w:val="auto"/>
                <w:lang w:val="uk-UA"/>
              </w:rPr>
            </w:pPr>
            <w:r w:rsidRPr="00BA4535">
              <w:rPr>
                <w:iCs/>
                <w:color w:val="auto"/>
                <w:lang w:val="uk-UA"/>
              </w:rPr>
              <w:t>Підсумкова оцінка з навчальної дисципліни формуються як середнє арифметичне визначених усіх 9-ти оцінок з розділів з округленням до цілого числа.</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lastRenderedPageBreak/>
              <w:t>Політика викладання</w:t>
            </w:r>
          </w:p>
        </w:tc>
        <w:tc>
          <w:tcPr>
            <w:tcW w:w="6804" w:type="dxa"/>
            <w:shd w:val="clear" w:color="auto" w:fill="auto"/>
          </w:tcPr>
          <w:p w:rsidR="00725831" w:rsidRPr="00BA4535" w:rsidRDefault="00725831" w:rsidP="00725831">
            <w:pPr>
              <w:pStyle w:val="Default"/>
              <w:ind w:firstLine="193"/>
              <w:jc w:val="both"/>
              <w:rPr>
                <w:color w:val="auto"/>
                <w:lang w:val="uk-UA"/>
              </w:rPr>
            </w:pPr>
            <w:r w:rsidRPr="00BA4535">
              <w:rPr>
                <w:color w:val="auto"/>
                <w:lang w:val="uk-UA"/>
              </w:rPr>
              <w:t xml:space="preserve">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725831" w:rsidRPr="00BA4535" w:rsidRDefault="00725831" w:rsidP="00725831">
            <w:pPr>
              <w:pStyle w:val="Default"/>
              <w:ind w:firstLine="193"/>
              <w:jc w:val="both"/>
              <w:rPr>
                <w:color w:val="auto"/>
                <w:lang w:val="uk-UA"/>
              </w:rPr>
            </w:pPr>
            <w:r w:rsidRPr="00BA4535">
              <w:rPr>
                <w:color w:val="auto"/>
                <w:lang w:val="uk-UA"/>
              </w:rPr>
              <w:t>Здобувач не допускається до підсумкового контролю за відсутності позитивної оцінки хоча б з одного із розділів.</w:t>
            </w:r>
          </w:p>
          <w:p w:rsidR="00725831" w:rsidRPr="00BA4535" w:rsidRDefault="00725831" w:rsidP="00725831">
            <w:pPr>
              <w:pStyle w:val="Default"/>
              <w:ind w:firstLine="193"/>
              <w:jc w:val="both"/>
              <w:rPr>
                <w:color w:val="auto"/>
                <w:lang w:val="uk-UA"/>
              </w:rPr>
            </w:pPr>
            <w:r w:rsidRPr="00BA4535">
              <w:rPr>
                <w:color w:val="auto"/>
                <w:lang w:val="uk-UA"/>
              </w:rPr>
              <w:t>Оскарження процедури та результатів оцінювання розділів та  підсумкового оцінювання з боку здобувачів освіти здійснюється у порядку, передбаченому «Положенням про організацію освітнього процесу в УДУНТ».</w:t>
            </w:r>
          </w:p>
          <w:p w:rsidR="00725831" w:rsidRPr="00BA4535" w:rsidRDefault="00725831" w:rsidP="00725831">
            <w:pPr>
              <w:pStyle w:val="Default"/>
              <w:ind w:firstLine="193"/>
              <w:jc w:val="both"/>
              <w:rPr>
                <w:color w:val="auto"/>
                <w:lang w:val="uk-UA"/>
              </w:rPr>
            </w:pPr>
            <w:r w:rsidRPr="00BA4535">
              <w:rPr>
                <w:color w:val="auto"/>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тягнуть відповідальність у вигляді повторного виконання сфальсифікованої роботи та повторного проходження процедури оцінювання.</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Засоби навчання</w:t>
            </w:r>
          </w:p>
        </w:tc>
        <w:tc>
          <w:tcPr>
            <w:tcW w:w="6804" w:type="dxa"/>
            <w:shd w:val="clear" w:color="auto" w:fill="auto"/>
          </w:tcPr>
          <w:p w:rsidR="00725831" w:rsidRPr="00BA4535" w:rsidRDefault="00725831" w:rsidP="00725831">
            <w:pPr>
              <w:jc w:val="both"/>
            </w:pPr>
            <w:r w:rsidRPr="00BA4535">
              <w:rPr>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практичних, лабораторних робіт та виконання індивідуальних завдань, прикладного програмного забезпечення для підтримки </w:t>
            </w:r>
            <w:r w:rsidRPr="00BA4535">
              <w:rPr>
                <w:iCs/>
                <w:sz w:val="24"/>
                <w:szCs w:val="24"/>
              </w:rPr>
              <w:t>дистанційного навчання: ZOOM, Google Class тощо.</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4"/>
                <w:szCs w:val="24"/>
              </w:rPr>
            </w:pPr>
            <w:r w:rsidRPr="00BA4535">
              <w:rPr>
                <w:b/>
                <w:sz w:val="24"/>
                <w:szCs w:val="24"/>
              </w:rPr>
              <w:t>Навчально-методичне забезпечення</w:t>
            </w:r>
          </w:p>
        </w:tc>
        <w:tc>
          <w:tcPr>
            <w:tcW w:w="6804" w:type="dxa"/>
            <w:shd w:val="clear" w:color="auto" w:fill="auto"/>
          </w:tcPr>
          <w:p w:rsidR="00725831" w:rsidRPr="00BA4535" w:rsidRDefault="00725831" w:rsidP="00725831">
            <w:pPr>
              <w:tabs>
                <w:tab w:val="left" w:pos="0"/>
              </w:tabs>
              <w:ind w:firstLine="709"/>
              <w:jc w:val="center"/>
              <w:rPr>
                <w:b/>
                <w:i/>
                <w:sz w:val="24"/>
                <w:szCs w:val="24"/>
              </w:rPr>
            </w:pPr>
            <w:r w:rsidRPr="00BA4535">
              <w:rPr>
                <w:b/>
                <w:i/>
                <w:sz w:val="24"/>
                <w:szCs w:val="24"/>
              </w:rPr>
              <w:t>Основна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Комерційне </w:t>
            </w:r>
            <w:hyperlink r:id="rId10" w:tooltip="Товарознавство" w:history="1">
              <w:r w:rsidRPr="00BA4535">
                <w:rPr>
                  <w:color w:val="auto"/>
                  <w:lang w:val="uk-UA"/>
                </w:rPr>
                <w:t>товарознавство</w:t>
              </w:r>
            </w:hyperlink>
            <w:r w:rsidRPr="00BA4535">
              <w:rPr>
                <w:color w:val="auto"/>
                <w:lang w:val="uk-UA"/>
              </w:rPr>
              <w:t xml:space="preserve"> : </w:t>
            </w:r>
            <w:hyperlink r:id="rId11" w:tooltip="Підручник" w:history="1">
              <w:r w:rsidRPr="00BA4535">
                <w:rPr>
                  <w:color w:val="auto"/>
                  <w:lang w:val="uk-UA"/>
                </w:rPr>
                <w:t>підручник</w:t>
              </w:r>
            </w:hyperlink>
            <w:r w:rsidRPr="00BA4535">
              <w:rPr>
                <w:color w:val="auto"/>
                <w:lang w:val="uk-UA"/>
              </w:rPr>
              <w:t xml:space="preserve">. 2-е вид./ В.І. Теплов, М.В. Сіроштан, В.Є. </w:t>
            </w:r>
            <w:hyperlink r:id="rId12" w:tooltip="Боря" w:history="1">
              <w:r w:rsidRPr="00BA4535">
                <w:rPr>
                  <w:color w:val="auto"/>
                  <w:lang w:val="uk-UA"/>
                </w:rPr>
                <w:t>Боря</w:t>
              </w:r>
            </w:hyperlink>
            <w:r w:rsidRPr="00BA4535">
              <w:rPr>
                <w:color w:val="auto"/>
                <w:lang w:val="uk-UA"/>
              </w:rPr>
              <w:t>, В.А. Панасенко. Видавничий Дім «Дашков і К°», 2001. 105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Теоретичні основи товарознавства/ Ю.Т. Жук та ін. Львів : Компакт-ЛВ, 2009. 480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Батугіна А.П.,  Ємченко В. Експертиза товарів : навчальний посібник. Київ. Центр навчальної літератури, 2004. 278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Системи менеджменту якості / А.М. Должанський, Н.М. Мосьпан, І.М. Ломов, О.С. Максакова. Дніпро : Видавництво «СВІДЛЕР А.Л.», 2017. 563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захист прав споживачів» від 12.05.1991 р., № 1023-ХІІ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судову експертизу» від 25.02.1994, № 4038-XI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lastRenderedPageBreak/>
              <w:t>Закон України «Про наукову та науково-технічну експертизу» від від 10 лютого 1995 року, № 51/95-ВР (зі змінами і доповненнями в подальші роки).</w:t>
            </w:r>
          </w:p>
          <w:p w:rsidR="00725831" w:rsidRPr="00BA4535" w:rsidRDefault="00725831" w:rsidP="00725831">
            <w:pPr>
              <w:ind w:hanging="72"/>
              <w:jc w:val="center"/>
              <w:rPr>
                <w:b/>
                <w:i/>
                <w:sz w:val="24"/>
                <w:szCs w:val="24"/>
              </w:rPr>
            </w:pPr>
            <w:r w:rsidRPr="00BA4535">
              <w:rPr>
                <w:b/>
                <w:i/>
                <w:sz w:val="24"/>
                <w:szCs w:val="24"/>
              </w:rPr>
              <w:t>Допоміжна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Байдакова Л.І., Ягелюк С.В., Байдакова І.М. Товарознавство. Непродовольчі товари: товари господарські та будівельні : підруч. для студ. вищ. навч. закл. Київ : Слово, 2013. 310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Дудла І.О. Захист прав споживачів : навчальний посібник. Київ : Центр учбової літератури, 2007. 448 c.</w:t>
            </w:r>
          </w:p>
          <w:p w:rsidR="00725831" w:rsidRPr="00BA4535" w:rsidRDefault="00725831" w:rsidP="00725831">
            <w:pPr>
              <w:pStyle w:val="Default"/>
              <w:numPr>
                <w:ilvl w:val="0"/>
                <w:numId w:val="2"/>
              </w:numPr>
              <w:ind w:left="0" w:hanging="72"/>
              <w:rPr>
                <w:color w:val="auto"/>
                <w:lang w:val="uk-UA"/>
              </w:rPr>
            </w:pPr>
            <w:r w:rsidRPr="00BA4535">
              <w:rPr>
                <w:color w:val="auto"/>
                <w:lang w:val="uk-UA"/>
              </w:rPr>
              <w:t>Полікарпов І.С.,  Шумський О.В. Товарна інформація : підручник. Київ : ЦНЛ, 2006. 616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Теоретичні основи товарознавства. Розділи «Споживчі властивості товарів»…  «Якість товарів». Опорний конспект лекцій з курсу/ [укладач Н.К. Кисляк]. Київ. Видавничий центр КНТЕУ. 2000. 35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Оснач О.Ф. Товарознавство : навчальний посібник. Київ : Центр навчальної літератури, 2004. 219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Звєрєва, О.В. Захист прав споживачів : навчальний посібник. Київ : Центр учбової літератури, 2007. 192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Коломієць Т.М., Притульська Н.В., Романенко О.Л. Експертиза товарів. Київ : Київ. нац. торг.-екон. ун-т, 2001. 274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Ємченко І.В., Батутіна А.П. Експертиза товарів : навч. посіб.  Київ : ЦУЛ, 2003. 278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Логістика : теорія та практика : навч. посіб./ В.М. Кислий, О.А. Біловодська, О.М. Олефіренко, О.М. Соляник. Київ : Центр учбової літератури, 2010. 360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Інфраструктура товарного ринку : навч. посібник / За ред. д-ра екон. наук, проф. І.В. Сороки. Київ : НМЦВО МОіН України, НВФ-Студцентр, 2002. 608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Державний класифікатор продукції та послуг. Київ : ДСК, ДК 016-97, 1998.</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інформацію для споживачів щодо харчових продуктів» від 6 грудня 2018 р.,  № 2639-VIII. </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Товарознавча експертиза продовольчих товарів. Методичні рекомендації по проведенню лабораторно-практичних занять/ І.А. Оносова, Л.В. Породіна, О.В. Булгакова, Є.В. Третяков. Донецьк : ДонДУЕТ, 2005. 44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Притульська Н.В. Ідентифікація продовольчих товарів : теорія і практика : Монографія. Київ : Київ. нац. торг.- екон. ун-т, 2007. 193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 </w:t>
            </w:r>
          </w:p>
          <w:p w:rsidR="00725831" w:rsidRPr="00BA4535" w:rsidRDefault="00725831" w:rsidP="00725831">
            <w:pPr>
              <w:jc w:val="both"/>
            </w:pPr>
          </w:p>
        </w:tc>
      </w:tr>
    </w:tbl>
    <w:p w:rsidR="00C43818" w:rsidRPr="00BA4535" w:rsidRDefault="00C43818"/>
    <w:sectPr w:rsidR="00C43818" w:rsidRPr="00BA45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1FE" w:rsidRDefault="004C01FE" w:rsidP="006F66BA">
      <w:r>
        <w:separator/>
      </w:r>
    </w:p>
  </w:endnote>
  <w:endnote w:type="continuationSeparator" w:id="0">
    <w:p w:rsidR="004C01FE" w:rsidRDefault="004C01FE"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1FE" w:rsidRDefault="004C01FE" w:rsidP="006F66BA">
      <w:r>
        <w:separator/>
      </w:r>
    </w:p>
  </w:footnote>
  <w:footnote w:type="continuationSeparator" w:id="0">
    <w:p w:rsidR="004C01FE" w:rsidRDefault="004C01FE"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833022"/>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7E3378"/>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17E6B"/>
    <w:rsid w:val="00022A66"/>
    <w:rsid w:val="00026871"/>
    <w:rsid w:val="00034F3D"/>
    <w:rsid w:val="00076CFE"/>
    <w:rsid w:val="00077399"/>
    <w:rsid w:val="00084D0E"/>
    <w:rsid w:val="00084E4A"/>
    <w:rsid w:val="00096F07"/>
    <w:rsid w:val="000D7084"/>
    <w:rsid w:val="001014D1"/>
    <w:rsid w:val="00110E09"/>
    <w:rsid w:val="00126953"/>
    <w:rsid w:val="0014020A"/>
    <w:rsid w:val="001441C2"/>
    <w:rsid w:val="0014426C"/>
    <w:rsid w:val="00146E70"/>
    <w:rsid w:val="001634D4"/>
    <w:rsid w:val="001659F2"/>
    <w:rsid w:val="00167B2F"/>
    <w:rsid w:val="0017199A"/>
    <w:rsid w:val="00184500"/>
    <w:rsid w:val="001A217C"/>
    <w:rsid w:val="001A234E"/>
    <w:rsid w:val="001A2C31"/>
    <w:rsid w:val="001A564F"/>
    <w:rsid w:val="001D29B8"/>
    <w:rsid w:val="001E2FD7"/>
    <w:rsid w:val="001F3CA9"/>
    <w:rsid w:val="001F4547"/>
    <w:rsid w:val="00206D2B"/>
    <w:rsid w:val="00210B92"/>
    <w:rsid w:val="002140CC"/>
    <w:rsid w:val="00236491"/>
    <w:rsid w:val="00243428"/>
    <w:rsid w:val="00250349"/>
    <w:rsid w:val="00266DC0"/>
    <w:rsid w:val="00273766"/>
    <w:rsid w:val="00280EFB"/>
    <w:rsid w:val="00291830"/>
    <w:rsid w:val="0029331A"/>
    <w:rsid w:val="0029735C"/>
    <w:rsid w:val="002A3812"/>
    <w:rsid w:val="002B59F4"/>
    <w:rsid w:val="002B66AB"/>
    <w:rsid w:val="002B76D4"/>
    <w:rsid w:val="002D0BE9"/>
    <w:rsid w:val="002D2FEB"/>
    <w:rsid w:val="002E1BE1"/>
    <w:rsid w:val="002E527B"/>
    <w:rsid w:val="002E73B9"/>
    <w:rsid w:val="002E77DF"/>
    <w:rsid w:val="002F2353"/>
    <w:rsid w:val="002F493F"/>
    <w:rsid w:val="002F7D97"/>
    <w:rsid w:val="002F7F88"/>
    <w:rsid w:val="00306FD4"/>
    <w:rsid w:val="00312861"/>
    <w:rsid w:val="0032168D"/>
    <w:rsid w:val="003273A5"/>
    <w:rsid w:val="0034459E"/>
    <w:rsid w:val="00346466"/>
    <w:rsid w:val="00370E3D"/>
    <w:rsid w:val="0037613D"/>
    <w:rsid w:val="00377149"/>
    <w:rsid w:val="00390B83"/>
    <w:rsid w:val="003A5073"/>
    <w:rsid w:val="003A75A2"/>
    <w:rsid w:val="003B0530"/>
    <w:rsid w:val="003B495F"/>
    <w:rsid w:val="003C0B17"/>
    <w:rsid w:val="003D357B"/>
    <w:rsid w:val="00420C41"/>
    <w:rsid w:val="004268FA"/>
    <w:rsid w:val="00465428"/>
    <w:rsid w:val="00492E11"/>
    <w:rsid w:val="004A0F2A"/>
    <w:rsid w:val="004A25BE"/>
    <w:rsid w:val="004A69CA"/>
    <w:rsid w:val="004C01FE"/>
    <w:rsid w:val="004E0EBA"/>
    <w:rsid w:val="004F688F"/>
    <w:rsid w:val="005021F1"/>
    <w:rsid w:val="005066DF"/>
    <w:rsid w:val="0050771C"/>
    <w:rsid w:val="00517070"/>
    <w:rsid w:val="00535C4F"/>
    <w:rsid w:val="0055704F"/>
    <w:rsid w:val="005659EB"/>
    <w:rsid w:val="00566A75"/>
    <w:rsid w:val="00570EB2"/>
    <w:rsid w:val="0059044D"/>
    <w:rsid w:val="005A26C9"/>
    <w:rsid w:val="005D71AB"/>
    <w:rsid w:val="005E09AF"/>
    <w:rsid w:val="005E2754"/>
    <w:rsid w:val="0060188B"/>
    <w:rsid w:val="00604554"/>
    <w:rsid w:val="00606653"/>
    <w:rsid w:val="006259AA"/>
    <w:rsid w:val="00633C44"/>
    <w:rsid w:val="00653245"/>
    <w:rsid w:val="0067217C"/>
    <w:rsid w:val="006778CD"/>
    <w:rsid w:val="00680435"/>
    <w:rsid w:val="00682A79"/>
    <w:rsid w:val="00697C3D"/>
    <w:rsid w:val="006A749E"/>
    <w:rsid w:val="006B6697"/>
    <w:rsid w:val="006C0233"/>
    <w:rsid w:val="006D2AC1"/>
    <w:rsid w:val="006F2DD7"/>
    <w:rsid w:val="006F66BA"/>
    <w:rsid w:val="007002BA"/>
    <w:rsid w:val="00701DBB"/>
    <w:rsid w:val="00703EAA"/>
    <w:rsid w:val="0070725C"/>
    <w:rsid w:val="00712609"/>
    <w:rsid w:val="00725831"/>
    <w:rsid w:val="00752657"/>
    <w:rsid w:val="007868AC"/>
    <w:rsid w:val="00790A72"/>
    <w:rsid w:val="007929FA"/>
    <w:rsid w:val="007B4DFB"/>
    <w:rsid w:val="007C3121"/>
    <w:rsid w:val="007D06F8"/>
    <w:rsid w:val="007D1318"/>
    <w:rsid w:val="007D1439"/>
    <w:rsid w:val="007E555B"/>
    <w:rsid w:val="007F3068"/>
    <w:rsid w:val="00801F05"/>
    <w:rsid w:val="008133DD"/>
    <w:rsid w:val="008154A8"/>
    <w:rsid w:val="00840C9D"/>
    <w:rsid w:val="00853323"/>
    <w:rsid w:val="0087516A"/>
    <w:rsid w:val="0088069D"/>
    <w:rsid w:val="00885B38"/>
    <w:rsid w:val="00885FC2"/>
    <w:rsid w:val="008B0721"/>
    <w:rsid w:val="008B1414"/>
    <w:rsid w:val="008C36CD"/>
    <w:rsid w:val="008D5E4C"/>
    <w:rsid w:val="0091212F"/>
    <w:rsid w:val="00924F4D"/>
    <w:rsid w:val="00940B39"/>
    <w:rsid w:val="00955DD7"/>
    <w:rsid w:val="009622CF"/>
    <w:rsid w:val="0096315A"/>
    <w:rsid w:val="00993986"/>
    <w:rsid w:val="009C1383"/>
    <w:rsid w:val="009C1A93"/>
    <w:rsid w:val="009C3C5B"/>
    <w:rsid w:val="009C5988"/>
    <w:rsid w:val="009D4B86"/>
    <w:rsid w:val="009D6F19"/>
    <w:rsid w:val="009E68D3"/>
    <w:rsid w:val="009F6BA8"/>
    <w:rsid w:val="00A078C0"/>
    <w:rsid w:val="00A13DDD"/>
    <w:rsid w:val="00A1403D"/>
    <w:rsid w:val="00A401A4"/>
    <w:rsid w:val="00A775B3"/>
    <w:rsid w:val="00A852F2"/>
    <w:rsid w:val="00A944C4"/>
    <w:rsid w:val="00AA4771"/>
    <w:rsid w:val="00AB25A1"/>
    <w:rsid w:val="00AC0192"/>
    <w:rsid w:val="00AE0EA9"/>
    <w:rsid w:val="00B0056D"/>
    <w:rsid w:val="00B00FB6"/>
    <w:rsid w:val="00B10CB6"/>
    <w:rsid w:val="00B10D95"/>
    <w:rsid w:val="00B10EC9"/>
    <w:rsid w:val="00B16369"/>
    <w:rsid w:val="00B33233"/>
    <w:rsid w:val="00B42757"/>
    <w:rsid w:val="00B4613F"/>
    <w:rsid w:val="00B8521A"/>
    <w:rsid w:val="00BA4535"/>
    <w:rsid w:val="00BC255F"/>
    <w:rsid w:val="00BC47D1"/>
    <w:rsid w:val="00BD605B"/>
    <w:rsid w:val="00BE0C90"/>
    <w:rsid w:val="00BF0025"/>
    <w:rsid w:val="00BF51E4"/>
    <w:rsid w:val="00C20236"/>
    <w:rsid w:val="00C26BDA"/>
    <w:rsid w:val="00C303D2"/>
    <w:rsid w:val="00C437AB"/>
    <w:rsid w:val="00C43818"/>
    <w:rsid w:val="00C64118"/>
    <w:rsid w:val="00C665CD"/>
    <w:rsid w:val="00C708C9"/>
    <w:rsid w:val="00C74483"/>
    <w:rsid w:val="00C9765C"/>
    <w:rsid w:val="00CA0698"/>
    <w:rsid w:val="00CA3175"/>
    <w:rsid w:val="00CA37B8"/>
    <w:rsid w:val="00CB27BD"/>
    <w:rsid w:val="00CD1E80"/>
    <w:rsid w:val="00D055B3"/>
    <w:rsid w:val="00D05C7C"/>
    <w:rsid w:val="00D140CB"/>
    <w:rsid w:val="00D1472E"/>
    <w:rsid w:val="00D258B3"/>
    <w:rsid w:val="00D402B0"/>
    <w:rsid w:val="00D43BD7"/>
    <w:rsid w:val="00D562B5"/>
    <w:rsid w:val="00D729E4"/>
    <w:rsid w:val="00DA3296"/>
    <w:rsid w:val="00DB2B5F"/>
    <w:rsid w:val="00DB4A35"/>
    <w:rsid w:val="00DC0515"/>
    <w:rsid w:val="00DC548F"/>
    <w:rsid w:val="00DD5272"/>
    <w:rsid w:val="00DD7AF4"/>
    <w:rsid w:val="00DE6656"/>
    <w:rsid w:val="00E01FF3"/>
    <w:rsid w:val="00E16E81"/>
    <w:rsid w:val="00E23E48"/>
    <w:rsid w:val="00E2791D"/>
    <w:rsid w:val="00E61CEC"/>
    <w:rsid w:val="00E63D5A"/>
    <w:rsid w:val="00E64353"/>
    <w:rsid w:val="00E721F1"/>
    <w:rsid w:val="00E86A9A"/>
    <w:rsid w:val="00E92E65"/>
    <w:rsid w:val="00E93257"/>
    <w:rsid w:val="00E9509F"/>
    <w:rsid w:val="00EF1552"/>
    <w:rsid w:val="00EF1773"/>
    <w:rsid w:val="00F0224B"/>
    <w:rsid w:val="00F050A6"/>
    <w:rsid w:val="00F24D3F"/>
    <w:rsid w:val="00F328D6"/>
    <w:rsid w:val="00F431AA"/>
    <w:rsid w:val="00F50916"/>
    <w:rsid w:val="00F519A7"/>
    <w:rsid w:val="00F54BFF"/>
    <w:rsid w:val="00F57A3F"/>
    <w:rsid w:val="00F70E1F"/>
    <w:rsid w:val="00F8304F"/>
    <w:rsid w:val="00FA0C86"/>
    <w:rsid w:val="00FA113D"/>
    <w:rsid w:val="00FA4B92"/>
    <w:rsid w:val="00FB21F3"/>
    <w:rsid w:val="00FC40B0"/>
    <w:rsid w:val="00FD4A7F"/>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71716"/>
  <w15:chartTrackingRefBased/>
  <w15:docId w15:val="{6361FE1D-6CB2-8C44-87FA-3DEDEBC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eastAsiaTheme="minorEastAsia"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UnresolvedMention">
    <w:name w:val="Unresolved Mention"/>
    <w:basedOn w:val="a0"/>
    <w:uiPriority w:val="99"/>
    <w:semiHidden/>
    <w:unhideWhenUsed/>
    <w:rsid w:val="00535C4F"/>
    <w:rPr>
      <w:color w:val="605E5C"/>
      <w:shd w:val="clear" w:color="auto" w:fill="E1DFDD"/>
    </w:rPr>
  </w:style>
  <w:style w:type="character" w:customStyle="1" w:styleId="40">
    <w:name w:val="Заголовок 4 Знак"/>
    <w:basedOn w:val="a0"/>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basedOn w:val="a0"/>
    <w:link w:val="a7"/>
    <w:rsid w:val="006F66BA"/>
    <w:rPr>
      <w:lang w:val="uk-UA"/>
    </w:rPr>
  </w:style>
  <w:style w:type="character" w:customStyle="1" w:styleId="60">
    <w:name w:val="Заголовок 6 Знак"/>
    <w:basedOn w:val="a0"/>
    <w:link w:val="6"/>
    <w:semiHidden/>
    <w:rsid w:val="00AE0EA9"/>
    <w:rPr>
      <w:rFonts w:ascii="Calibri" w:eastAsiaTheme="minorEastAsia"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a-referat.com/%D0%91%D0%BE%D1%80%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9F%D1%96%D0%B4%D1%80%D1%83%D1%87%D0%BD%D0%B8%D0%BA" TargetMode="External"/><Relationship Id="rId5" Type="http://schemas.openxmlformats.org/officeDocument/2006/relationships/footnotes" Target="footnotes.xml"/><Relationship Id="rId10" Type="http://schemas.openxmlformats.org/officeDocument/2006/relationships/hyperlink" Target="http://ua-referat.com/%D0%A2%D0%BE%D0%B2%D0%B0%D1%80%D0%BE%D0%B7%D0%BD%D0%B0%D0%B2%D1%81%D1%82%D0%B2%D0%BE" TargetMode="External"/><Relationship Id="rId4" Type="http://schemas.openxmlformats.org/officeDocument/2006/relationships/webSettings" Target="webSettings.xml"/><Relationship Id="rId9" Type="http://schemas.openxmlformats.org/officeDocument/2006/relationships/hyperlink" Target="mailto:lija618nat@ua.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9292</CharactersWithSpaces>
  <SharedDoc>false</SharedDoc>
  <HLinks>
    <vt:vector size="6" baseType="variant">
      <vt:variant>
        <vt:i4>8060943</vt:i4>
      </vt:variant>
      <vt:variant>
        <vt:i4>0</vt:i4>
      </vt:variant>
      <vt:variant>
        <vt:i4>0</vt:i4>
      </vt:variant>
      <vt:variant>
        <vt:i4>5</vt:i4>
      </vt:variant>
      <vt:variant>
        <vt:lpwstr>mailto:a.dolzhanskiy@gmail.com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12</cp:revision>
  <dcterms:created xsi:type="dcterms:W3CDTF">2023-02-26T11:26:00Z</dcterms:created>
  <dcterms:modified xsi:type="dcterms:W3CDTF">2026-02-08T10:23:00Z</dcterms:modified>
</cp:coreProperties>
</file>