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14:paraId="066847D4" w14:textId="77777777" w:rsidTr="00897301">
        <w:tc>
          <w:tcPr>
            <w:tcW w:w="9345" w:type="dxa"/>
            <w:gridSpan w:val="2"/>
            <w:shd w:val="clear" w:color="auto" w:fill="auto"/>
          </w:tcPr>
          <w:p w14:paraId="75F656AE" w14:textId="77777777"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14:paraId="10414ABC" w14:textId="77777777" w:rsidTr="00897301">
        <w:tc>
          <w:tcPr>
            <w:tcW w:w="2263" w:type="dxa"/>
            <w:shd w:val="clear" w:color="auto" w:fill="auto"/>
          </w:tcPr>
          <w:p w14:paraId="699831CE" w14:textId="77777777" w:rsidR="00331967" w:rsidRPr="00CD23CE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23CE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56783FA7" wp14:editId="5E2EC168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0EBBA8F8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04DF29B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59610D35" w14:textId="77BCB6B7" w:rsidR="00331967" w:rsidRPr="003F18FD" w:rsidRDefault="00331967" w:rsidP="00AD673A">
            <w:pPr>
              <w:pStyle w:val="Default"/>
              <w:spacing w:line="276" w:lineRule="auto"/>
              <w:jc w:val="center"/>
              <w:divId w:val="1365515900"/>
              <w:rPr>
                <w:b/>
                <w:bCs/>
                <w:color w:val="auto"/>
                <w:sz w:val="40"/>
                <w:szCs w:val="40"/>
                <w:lang w:val="uk-UA"/>
              </w:rPr>
            </w:pPr>
            <w:r w:rsidRPr="003F18FD">
              <w:rPr>
                <w:b/>
                <w:bCs/>
                <w:color w:val="000000" w:themeColor="text1"/>
                <w:sz w:val="40"/>
                <w:szCs w:val="40"/>
              </w:rPr>
              <w:t>«</w:t>
            </w:r>
            <w:r w:rsidR="007C3E02">
              <w:rPr>
                <w:b/>
                <w:bCs/>
                <w:color w:val="auto"/>
                <w:sz w:val="40"/>
                <w:szCs w:val="40"/>
                <w:lang w:val="uk-UA"/>
              </w:rPr>
              <w:t>Управління бізнес-процесами</w:t>
            </w:r>
            <w:r w:rsidRPr="003F18FD">
              <w:rPr>
                <w:b/>
                <w:bCs/>
                <w:color w:val="000000" w:themeColor="text1"/>
                <w:sz w:val="40"/>
                <w:szCs w:val="40"/>
              </w:rPr>
              <w:t>»</w:t>
            </w:r>
          </w:p>
          <w:p w14:paraId="7B448F7B" w14:textId="77777777"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DCDB40" w14:textId="77777777"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14:paraId="306C3969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AD3EEA2" w14:textId="77777777"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6F768228" w14:textId="38711066" w:rsidR="00736246" w:rsidRPr="00903E39" w:rsidRDefault="00903E39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03E39">
              <w:rPr>
                <w:sz w:val="24"/>
                <w:szCs w:val="24"/>
              </w:rPr>
              <w:t>Вибіркова</w:t>
            </w:r>
            <w:r w:rsidR="00AD673A" w:rsidRPr="00903E39">
              <w:rPr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F41DD6" w:rsidRPr="00F41DD6" w14:paraId="0540091A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2E334CE" w14:textId="77777777"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216D9D80" w14:textId="057F7696" w:rsidR="00736246" w:rsidRPr="00903E39" w:rsidRDefault="00903E39" w:rsidP="007C3E02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В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AD673A" w:rsidRPr="00903E39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r w:rsidR="007C3E02">
              <w:rPr>
                <w:rFonts w:eastAsia="Calibri"/>
                <w:bCs/>
                <w:sz w:val="24"/>
                <w:szCs w:val="24"/>
                <w:lang w:eastAsia="en-US"/>
              </w:rPr>
              <w:t>12</w:t>
            </w: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  <w:r w:rsidR="003F18FD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903E39">
              <w:rPr>
                <w:bCs/>
                <w:sz w:val="24"/>
                <w:szCs w:val="24"/>
              </w:rPr>
              <w:t xml:space="preserve"> </w:t>
            </w:r>
            <w:r w:rsidR="007C3E02">
              <w:rPr>
                <w:sz w:val="24"/>
                <w:szCs w:val="24"/>
              </w:rPr>
              <w:t>Управління бізнес-процесами</w:t>
            </w:r>
          </w:p>
        </w:tc>
      </w:tr>
      <w:tr w:rsidR="00F41DD6" w:rsidRPr="00F41DD6" w14:paraId="71E413F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04A9D682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96E537" w14:textId="77777777" w:rsidR="00736246" w:rsidRPr="00903E39" w:rsidRDefault="00F2257B" w:rsidP="00F2257B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175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Pr="00903E39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3F7800" w:rsidRPr="00F41DD6" w14:paraId="33E6510D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55DFED23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993DD8" w14:textId="1D7CEB16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3F7800" w:rsidRPr="00F41DD6" w14:paraId="721FDE24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5C0217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CF84A0" w14:textId="430B3B74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Перший</w:t>
            </w:r>
            <w:r w:rsidR="003F7800" w:rsidRPr="00903E39">
              <w:rPr>
                <w:sz w:val="24"/>
                <w:szCs w:val="24"/>
              </w:rPr>
              <w:t xml:space="preserve"> (</w:t>
            </w:r>
            <w:r w:rsidRPr="00903E39">
              <w:rPr>
                <w:sz w:val="24"/>
                <w:szCs w:val="24"/>
              </w:rPr>
              <w:t>бакалаврський</w:t>
            </w:r>
            <w:r w:rsidR="003F7800" w:rsidRPr="00903E39">
              <w:rPr>
                <w:sz w:val="24"/>
                <w:szCs w:val="24"/>
              </w:rPr>
              <w:t>)</w:t>
            </w:r>
          </w:p>
        </w:tc>
      </w:tr>
      <w:tr w:rsidR="003F7800" w:rsidRPr="00F41DD6" w14:paraId="3EA0C981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B99FA1F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6D1D5897" w14:textId="77777777" w:rsidR="003F7800" w:rsidRPr="00F41DD6" w:rsidRDefault="003F7800" w:rsidP="003F7800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DC9730" w14:textId="6527F2AA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4</w:t>
            </w:r>
          </w:p>
        </w:tc>
      </w:tr>
      <w:tr w:rsidR="003F7800" w:rsidRPr="00F41DD6" w14:paraId="2173D1F8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95F352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1485EF9C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145E51F" w14:textId="3B55434F" w:rsidR="003F7800" w:rsidRPr="00903E39" w:rsidRDefault="007C3E02" w:rsidP="003F7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F7800" w:rsidRPr="00903E39">
              <w:rPr>
                <w:sz w:val="24"/>
                <w:szCs w:val="24"/>
              </w:rPr>
              <w:t xml:space="preserve"> семестр (</w:t>
            </w:r>
            <w:r>
              <w:rPr>
                <w:sz w:val="24"/>
                <w:szCs w:val="24"/>
              </w:rPr>
              <w:t>15</w:t>
            </w:r>
            <w:r w:rsidR="003F7800" w:rsidRPr="00903E39">
              <w:rPr>
                <w:sz w:val="24"/>
                <w:szCs w:val="24"/>
              </w:rPr>
              <w:t xml:space="preserve"> півсеместр)</w:t>
            </w:r>
          </w:p>
        </w:tc>
      </w:tr>
      <w:tr w:rsidR="00F41DD6" w:rsidRPr="00F41DD6" w14:paraId="7D7601CC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734AECBC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68D9BE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14:paraId="445E43A7" w14:textId="77777777" w:rsidTr="00903E39">
        <w:trPr>
          <w:trHeight w:val="80"/>
          <w:jc w:val="center"/>
        </w:trPr>
        <w:tc>
          <w:tcPr>
            <w:tcW w:w="2518" w:type="dxa"/>
            <w:shd w:val="clear" w:color="auto" w:fill="auto"/>
          </w:tcPr>
          <w:p w14:paraId="332FDCA8" w14:textId="77777777" w:rsidR="00736246" w:rsidRPr="00903E39" w:rsidRDefault="00736246" w:rsidP="008973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3E39">
              <w:rPr>
                <w:b/>
                <w:bCs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30E216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6F563974" w14:textId="77777777" w:rsidR="00C232CA" w:rsidRPr="008F2F64" w:rsidRDefault="00C232CA" w:rsidP="00C43818">
      <w:pPr>
        <w:jc w:val="center"/>
        <w:rPr>
          <w:color w:val="000000" w:themeColor="text1"/>
          <w:sz w:val="24"/>
          <w:szCs w:val="24"/>
        </w:rPr>
      </w:pPr>
    </w:p>
    <w:p w14:paraId="59E70489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8F2F64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15310" w:type="dxa"/>
        <w:tblLook w:val="0000" w:firstRow="0" w:lastRow="0" w:firstColumn="0" w:lastColumn="0" w:noHBand="0" w:noVBand="0"/>
      </w:tblPr>
      <w:tblGrid>
        <w:gridCol w:w="3402"/>
        <w:gridCol w:w="5954"/>
        <w:gridCol w:w="5954"/>
      </w:tblGrid>
      <w:tr w:rsidR="003E62CF" w:rsidRPr="008F2F64" w14:paraId="57AF9BEC" w14:textId="77777777" w:rsidTr="003E62CF">
        <w:trPr>
          <w:trHeight w:val="551"/>
        </w:trPr>
        <w:tc>
          <w:tcPr>
            <w:tcW w:w="3402" w:type="dxa"/>
            <w:vMerge w:val="restart"/>
            <w:vAlign w:val="center"/>
          </w:tcPr>
          <w:p w14:paraId="0EA5DD1B" w14:textId="77777777" w:rsidR="003E62CF" w:rsidRPr="008F2F64" w:rsidRDefault="003E62CF" w:rsidP="003E62C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61824" behindDoc="1" locked="0" layoutInCell="1" allowOverlap="1" wp14:anchorId="42BEA785" wp14:editId="272D7302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2F64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0C20066A" w14:textId="77777777" w:rsidR="003E62CF" w:rsidRPr="008F2F64" w:rsidRDefault="003E62CF" w:rsidP="003E62C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1520C83F" w14:textId="77777777" w:rsidR="003E62CF" w:rsidRPr="004E1DAD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Проф., докт. техн. наук Должанський Анатолій Михайлович</w:t>
            </w:r>
          </w:p>
          <w:p w14:paraId="25AED6DB" w14:textId="77777777" w:rsidR="003E62CF" w:rsidRPr="004E1DAD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Корпоративний Е-mail: a.m.dolzhanskiy @ust.edu.ua</w:t>
            </w:r>
          </w:p>
          <w:p w14:paraId="3F754B5A" w14:textId="77777777" w:rsidR="003E62CF" w:rsidRPr="004E1DAD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e-</w:t>
            </w:r>
            <w:r w:rsidRPr="004E1DAD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14:paraId="11D89397" w14:textId="77777777" w:rsidR="003E62CF" w:rsidRPr="004E1DAD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 xml:space="preserve">Лінк на персональну сторінку викладача на сайті кафедри </w:t>
            </w:r>
            <w:hyperlink r:id="rId10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https://nmetau.edu.ua/ua/mdiv/i2037/p-2/e473</w:t>
              </w:r>
            </w:hyperlink>
          </w:p>
          <w:p w14:paraId="1FC7AF9C" w14:textId="3CA2BDCE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Аспірант Брагинський Олег Борисович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5954" w:type="dxa"/>
          </w:tcPr>
          <w:p w14:paraId="43A2CD6D" w14:textId="4704D762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E62CF" w:rsidRPr="008F2F64" w14:paraId="56956383" w14:textId="77777777" w:rsidTr="003E62CF">
        <w:tc>
          <w:tcPr>
            <w:tcW w:w="3402" w:type="dxa"/>
            <w:vMerge/>
          </w:tcPr>
          <w:p w14:paraId="06FD97F6" w14:textId="77777777" w:rsidR="003E62CF" w:rsidRPr="008F2F64" w:rsidRDefault="003E62CF" w:rsidP="003E62C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A585948" w14:textId="77777777" w:rsidR="003E62CF" w:rsidRPr="004E1DAD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</w:p>
          <w:p w14:paraId="45B9309A" w14:textId="3A660A01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e-</w:t>
            </w:r>
            <w:r w:rsidRPr="004E1DAD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pt-BR"/>
              </w:rPr>
              <w:t>braginskyy_oleg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pt-BR"/>
              </w:rPr>
              <w:t>ukr.net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5954" w:type="dxa"/>
          </w:tcPr>
          <w:p w14:paraId="35BAB3ED" w14:textId="4AA8B875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E62CF" w:rsidRPr="008F2F64" w14:paraId="7119C06F" w14:textId="77777777" w:rsidTr="003E62CF">
        <w:tc>
          <w:tcPr>
            <w:tcW w:w="3402" w:type="dxa"/>
            <w:vMerge/>
          </w:tcPr>
          <w:p w14:paraId="3C177F51" w14:textId="77777777" w:rsidR="003E62CF" w:rsidRPr="008F2F64" w:rsidRDefault="003E62CF" w:rsidP="003E62C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43C8E2F" w14:textId="779AA2F3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743BAE">
              <w:rPr>
                <w:color w:val="000000" w:themeColor="text1"/>
                <w:sz w:val="24"/>
                <w:szCs w:val="24"/>
              </w:rPr>
              <w:t xml:space="preserve">Лінк на персональну сторінку викладача на сайті кафедри </w:t>
            </w:r>
            <w:r w:rsidRPr="00743BAE">
              <w:rPr>
                <w:sz w:val="24"/>
                <w:szCs w:val="24"/>
              </w:rPr>
              <w:t>https://nmetau.edu.ua/ua/mdiv/i2037/p-2/e2248</w:t>
            </w:r>
          </w:p>
        </w:tc>
        <w:tc>
          <w:tcPr>
            <w:tcW w:w="5954" w:type="dxa"/>
          </w:tcPr>
          <w:p w14:paraId="6C7C2163" w14:textId="6C8A6473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E62CF" w:rsidRPr="008F2F64" w14:paraId="7EDBEA82" w14:textId="77777777" w:rsidTr="003E62CF">
        <w:trPr>
          <w:trHeight w:val="383"/>
        </w:trPr>
        <w:tc>
          <w:tcPr>
            <w:tcW w:w="3402" w:type="dxa"/>
            <w:vMerge/>
          </w:tcPr>
          <w:p w14:paraId="03F84AB4" w14:textId="77777777" w:rsidR="003E62CF" w:rsidRPr="008F2F64" w:rsidRDefault="003E62CF" w:rsidP="003E62C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5BDA71" w14:textId="026A3546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Лінк на дисципліну (за наявністю) </w:t>
            </w:r>
          </w:p>
        </w:tc>
        <w:tc>
          <w:tcPr>
            <w:tcW w:w="5954" w:type="dxa"/>
          </w:tcPr>
          <w:p w14:paraId="67568FEA" w14:textId="72276508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E62CF" w:rsidRPr="008F2F64" w14:paraId="4908EAFA" w14:textId="77777777" w:rsidTr="003E62CF">
        <w:trPr>
          <w:trHeight w:val="645"/>
        </w:trPr>
        <w:tc>
          <w:tcPr>
            <w:tcW w:w="3402" w:type="dxa"/>
            <w:vMerge/>
          </w:tcPr>
          <w:p w14:paraId="55C069A6" w14:textId="77777777" w:rsidR="003E62CF" w:rsidRPr="008F2F64" w:rsidRDefault="003E62CF" w:rsidP="003E62C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F8A6E9C" w14:textId="77777777" w:rsidR="003E62CF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Пр. </w:t>
            </w:r>
            <w:r>
              <w:rPr>
                <w:color w:val="000000" w:themeColor="text1"/>
                <w:sz w:val="24"/>
                <w:szCs w:val="24"/>
              </w:rPr>
              <w:t>Науки</w:t>
            </w:r>
            <w:r w:rsidRPr="00F41DD6">
              <w:rPr>
                <w:color w:val="000000" w:themeColor="text1"/>
                <w:sz w:val="24"/>
                <w:szCs w:val="24"/>
              </w:rPr>
              <w:t>, 4, кімн. 2</w:t>
            </w: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14:paraId="3CC228A5" w14:textId="77777777" w:rsidR="003E62CF" w:rsidRDefault="003E62CF" w:rsidP="003E62CF">
            <w:pPr>
              <w:rPr>
                <w:color w:val="000000" w:themeColor="text1"/>
                <w:sz w:val="24"/>
                <w:szCs w:val="24"/>
              </w:rPr>
            </w:pPr>
          </w:p>
          <w:p w14:paraId="7F9E27D7" w14:textId="77777777" w:rsidR="003E62CF" w:rsidRDefault="003E62CF" w:rsidP="003E62CF">
            <w:pPr>
              <w:rPr>
                <w:color w:val="000000" w:themeColor="text1"/>
                <w:sz w:val="24"/>
                <w:szCs w:val="24"/>
              </w:rPr>
            </w:pPr>
          </w:p>
          <w:p w14:paraId="6CD1B6C7" w14:textId="77777777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A1D8D9" w14:textId="1AD808AE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7202E4A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7881"/>
      </w:tblGrid>
      <w:tr w:rsidR="00F41DD6" w:rsidRPr="008F2F64" w14:paraId="315CB5C2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89CB3E9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572F6498" w14:textId="77777777" w:rsidR="003E62CF" w:rsidRPr="00BE3C95" w:rsidRDefault="003E62CF" w:rsidP="003E62CF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BE3C95">
              <w:rPr>
                <w:color w:val="auto"/>
                <w:sz w:val="28"/>
                <w:szCs w:val="28"/>
                <w:lang w:val="uk-UA"/>
              </w:rPr>
              <w:t>Навчальна дисципліна є вибірковою для вивчення студентами, які здобувають освітній ступінь бакалавра за Освітньою програмою «</w:t>
            </w:r>
            <w:r w:rsidRPr="00BE3C95">
              <w:rPr>
                <w:bCs/>
                <w:color w:val="auto"/>
                <w:sz w:val="28"/>
                <w:szCs w:val="28"/>
                <w:lang w:val="uk-UA"/>
              </w:rPr>
              <w:t>Інформаційно-вимірювальні технології та  інженерія якості</w:t>
            </w:r>
            <w:r w:rsidRPr="00BE3C95">
              <w:rPr>
                <w:color w:val="auto"/>
                <w:sz w:val="28"/>
                <w:szCs w:val="28"/>
                <w:lang w:val="uk-UA"/>
              </w:rPr>
              <w:t xml:space="preserve">». </w:t>
            </w:r>
          </w:p>
          <w:p w14:paraId="1EAEC232" w14:textId="59B97F6D" w:rsidR="00736246" w:rsidRPr="00B74156" w:rsidRDefault="003E62CF" w:rsidP="003E62CF">
            <w:pPr>
              <w:ind w:firstLine="708"/>
              <w:jc w:val="both"/>
              <w:rPr>
                <w:sz w:val="28"/>
                <w:szCs w:val="28"/>
              </w:rPr>
            </w:pPr>
            <w:r w:rsidRPr="003E62CF">
              <w:rPr>
                <w:sz w:val="24"/>
                <w:szCs w:val="24"/>
              </w:rPr>
              <w:lastRenderedPageBreak/>
              <w:t>Передумовами для вивчення дисципліни є попереднє опанування дисциплінами Циклу загальної підготовки («Історія та культура України», «Філософія», «Правознавство» та ін.), дисциплінами Циклу фахової підготовки («Вища математика», «Алгоритмізація та програмування», «Комп'ютерна графіка», «Електротехніка», «Електроніка»), спеціальними дисциплінами («</w:t>
            </w:r>
            <w:r w:rsidRPr="003E62CF">
              <w:rPr>
                <w:bCs/>
                <w:sz w:val="24"/>
                <w:szCs w:val="24"/>
              </w:rPr>
              <w:t>Економіка та організація підприємства</w:t>
            </w:r>
            <w:r w:rsidRPr="003E62CF">
              <w:rPr>
                <w:sz w:val="24"/>
                <w:szCs w:val="24"/>
              </w:rPr>
              <w:t xml:space="preserve">», «Основи системного аналізу», «Стандартизація продукції та послуг», «Кваліметрія та управління якістю» та ін.). </w:t>
            </w:r>
            <w:r w:rsidR="00B74156" w:rsidRPr="008D41B6">
              <w:rPr>
                <w:sz w:val="28"/>
                <w:szCs w:val="28"/>
              </w:rPr>
              <w:t xml:space="preserve"> </w:t>
            </w:r>
          </w:p>
        </w:tc>
      </w:tr>
      <w:tr w:rsidR="00F41DD6" w:rsidRPr="008F2F64" w14:paraId="187F012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CB592CA" w14:textId="77777777" w:rsidR="00736246" w:rsidRPr="008F2F64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6CCD3BE0" w14:textId="117DA21E" w:rsidR="00736246" w:rsidRPr="003E62CF" w:rsidRDefault="003E62CF" w:rsidP="003E62CF">
            <w:pPr>
              <w:pStyle w:val="ad"/>
              <w:spacing w:before="3"/>
              <w:ind w:right="143" w:firstLine="850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 xml:space="preserve">Опанування базовими положеннями з управління бізнес-процесами в організації на основі процесно-орієнтованого підходу, формування умінь ідентифікації, опису, діагностики та реінжинірингу бізнес-процесів, створення процесних структур </w:t>
            </w:r>
            <w:r>
              <w:rPr>
                <w:sz w:val="24"/>
                <w:szCs w:val="24"/>
              </w:rPr>
              <w:t>при забезпеченні якості діяльності та її результатів</w:t>
            </w:r>
            <w:r w:rsidRPr="003E62CF">
              <w:rPr>
                <w:sz w:val="24"/>
                <w:szCs w:val="24"/>
              </w:rPr>
              <w:t>, вивчення практичних аспектів щодо удосконалення бізнес-процесів.</w:t>
            </w:r>
          </w:p>
        </w:tc>
      </w:tr>
      <w:tr w:rsidR="00C7470E" w:rsidRPr="008F2F64" w14:paraId="7BC0CA00" w14:textId="77777777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5B5CFE7A" w14:textId="77777777" w:rsidR="00C7470E" w:rsidRPr="008F2F64" w:rsidRDefault="00C7470E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9B7413" w14:textId="529C4B6B" w:rsidR="00C7470E" w:rsidRPr="003E62CF" w:rsidRDefault="00041FAB" w:rsidP="003F18F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3E62CF">
              <w:rPr>
                <w:color w:val="000000" w:themeColor="text1"/>
                <w:lang w:val="uk-UA" w:eastAsia="en-US"/>
              </w:rPr>
              <w:t xml:space="preserve">ОРН1. </w:t>
            </w:r>
            <w:r w:rsidR="003E62CF" w:rsidRPr="003E62CF">
              <w:rPr>
                <w:lang w:val="uk-UA"/>
              </w:rPr>
              <w:t>Розуміти сутність та особливості процесного підходу з управління організаціями в умовах динамічних змін їх контексту.</w:t>
            </w:r>
            <w:r w:rsidR="003F18FD" w:rsidRPr="003E62CF">
              <w:rPr>
                <w:lang w:val="uk-UA"/>
              </w:rPr>
              <w:t>.</w:t>
            </w:r>
          </w:p>
        </w:tc>
      </w:tr>
      <w:tr w:rsidR="00614924" w:rsidRPr="008F2F64" w14:paraId="1067B77C" w14:textId="77777777" w:rsidTr="00897301">
        <w:trPr>
          <w:trHeight w:val="207"/>
          <w:jc w:val="center"/>
        </w:trPr>
        <w:tc>
          <w:tcPr>
            <w:tcW w:w="2518" w:type="dxa"/>
            <w:vMerge/>
            <w:shd w:val="clear" w:color="auto" w:fill="auto"/>
          </w:tcPr>
          <w:p w14:paraId="62BE9446" w14:textId="77777777" w:rsidR="00614924" w:rsidRPr="008F2F64" w:rsidRDefault="00614924" w:rsidP="00C7639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44B1B6B" w14:textId="534AB977" w:rsidR="00614924" w:rsidRPr="003E62CF" w:rsidRDefault="00614924" w:rsidP="003F18FD">
            <w:pPr>
              <w:pStyle w:val="Default"/>
              <w:jc w:val="both"/>
              <w:rPr>
                <w:color w:val="000000" w:themeColor="text1"/>
                <w:lang w:val="uk-UA" w:eastAsia="en-US"/>
              </w:rPr>
            </w:pPr>
            <w:r w:rsidRPr="003E62CF">
              <w:rPr>
                <w:color w:val="auto"/>
                <w:lang w:val="uk-UA" w:eastAsia="en-US"/>
              </w:rPr>
              <w:t xml:space="preserve">ОРН2. </w:t>
            </w:r>
            <w:r w:rsidR="003E62CF" w:rsidRPr="003E62CF">
              <w:rPr>
                <w:lang w:val="uk-UA"/>
              </w:rPr>
              <w:t>Обирати застосовні методи для моделювання бізнес-процесів при вирішенні завдань удосконалення діяльності організації (фірми).</w:t>
            </w:r>
          </w:p>
        </w:tc>
      </w:tr>
      <w:tr w:rsidR="00C7470E" w:rsidRPr="008F2F64" w14:paraId="1EA29AD8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E125EAF" w14:textId="77777777" w:rsidR="00C7470E" w:rsidRPr="008F2F64" w:rsidRDefault="00C7470E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C71CA5" w14:textId="74534CF0" w:rsidR="00C7470E" w:rsidRPr="003E62CF" w:rsidRDefault="00744926" w:rsidP="003E62CF">
            <w:pPr>
              <w:pStyle w:val="Default"/>
              <w:jc w:val="both"/>
              <w:rPr>
                <w:color w:val="auto"/>
                <w:lang w:val="uk-UA"/>
              </w:rPr>
            </w:pPr>
            <w:r w:rsidRPr="003E62CF">
              <w:rPr>
                <w:color w:val="auto"/>
                <w:lang w:val="uk-UA" w:eastAsia="en-US"/>
              </w:rPr>
              <w:t>ОРН</w:t>
            </w:r>
            <w:r w:rsidR="00614924" w:rsidRPr="003E62CF">
              <w:rPr>
                <w:color w:val="auto"/>
                <w:lang w:val="uk-UA" w:eastAsia="en-US"/>
              </w:rPr>
              <w:t>3</w:t>
            </w:r>
            <w:r w:rsidRPr="003E62CF">
              <w:rPr>
                <w:color w:val="auto"/>
                <w:lang w:val="uk-UA" w:eastAsia="en-US"/>
              </w:rPr>
              <w:t xml:space="preserve">. </w:t>
            </w:r>
            <w:r w:rsidR="003E62CF" w:rsidRPr="003E62CF">
              <w:rPr>
                <w:lang w:val="uk-UA"/>
              </w:rPr>
              <w:t>Застосовувати придатні методи для моделювання та реінжинірингу бізнес-процесів при удосконаленні діяльності організації (фірми).</w:t>
            </w:r>
          </w:p>
        </w:tc>
      </w:tr>
      <w:tr w:rsidR="00C7470E" w:rsidRPr="008F2F64" w14:paraId="2D10C68B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5F1B0D16" w14:textId="77777777" w:rsidR="00C7470E" w:rsidRPr="008F2F64" w:rsidRDefault="00C7470E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BD1DCCF" w14:textId="051E3E93" w:rsidR="00C7470E" w:rsidRPr="003E62CF" w:rsidRDefault="0065283D" w:rsidP="003E62CF">
            <w:pPr>
              <w:pStyle w:val="Default"/>
              <w:jc w:val="both"/>
              <w:rPr>
                <w:color w:val="auto"/>
                <w:lang w:val="uk-UA"/>
              </w:rPr>
            </w:pPr>
            <w:r w:rsidRPr="003E62CF">
              <w:rPr>
                <w:color w:val="auto"/>
                <w:lang w:val="uk-UA"/>
              </w:rPr>
              <w:t>ОРН</w:t>
            </w:r>
            <w:r w:rsidR="00614924" w:rsidRPr="003E62CF">
              <w:rPr>
                <w:color w:val="auto"/>
                <w:lang w:val="uk-UA"/>
              </w:rPr>
              <w:t>4</w:t>
            </w:r>
            <w:r w:rsidRPr="003E62CF">
              <w:rPr>
                <w:color w:val="auto"/>
                <w:lang w:val="uk-UA"/>
              </w:rPr>
              <w:t xml:space="preserve">. </w:t>
            </w:r>
            <w:r w:rsidR="003E62CF" w:rsidRPr="003E62CF">
              <w:rPr>
                <w:lang w:val="uk-UA"/>
              </w:rPr>
              <w:t>Оцінювати ефективність запропонованих заходів з моделювання та реінжинірингу бізнес-процесів.</w:t>
            </w:r>
          </w:p>
        </w:tc>
      </w:tr>
      <w:tr w:rsidR="008638DB" w:rsidRPr="008F2F64" w14:paraId="2D0AE8FD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54B7DA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6C20E0A3" w14:textId="0EE74455" w:rsidR="00454838" w:rsidRPr="003E62CF" w:rsidRDefault="00454838">
            <w:pPr>
              <w:pStyle w:val="Default"/>
              <w:divId w:val="2099130195"/>
              <w:rPr>
                <w:color w:val="auto"/>
                <w:lang w:val="uk-UA"/>
              </w:rPr>
            </w:pPr>
            <w:r w:rsidRPr="003E62CF">
              <w:rPr>
                <w:color w:val="auto"/>
                <w:lang w:val="uk-UA"/>
              </w:rPr>
              <w:t xml:space="preserve">Розділ 1. </w:t>
            </w:r>
            <w:r w:rsidR="003E62CF" w:rsidRPr="003E62CF">
              <w:rPr>
                <w:lang w:val="uk-UA"/>
              </w:rPr>
              <w:t>Основні поняття і визначення у сфері управління бізнес-процесами</w:t>
            </w:r>
          </w:p>
          <w:p w14:paraId="4456AD0C" w14:textId="48B0AE35" w:rsidR="00454838" w:rsidRPr="003E62CF" w:rsidRDefault="00454838">
            <w:pPr>
              <w:pStyle w:val="Default"/>
              <w:divId w:val="2099130195"/>
              <w:rPr>
                <w:color w:val="auto"/>
                <w:lang w:val="uk-UA"/>
              </w:rPr>
            </w:pPr>
            <w:r w:rsidRPr="003E62CF">
              <w:rPr>
                <w:color w:val="auto"/>
                <w:lang w:val="uk-UA"/>
              </w:rPr>
              <w:t xml:space="preserve">Розділ 2. </w:t>
            </w:r>
            <w:r w:rsidR="003E62CF" w:rsidRPr="003E62CF">
              <w:rPr>
                <w:lang w:val="uk-UA"/>
              </w:rPr>
              <w:t>Інструменти управління бізнес-процесами</w:t>
            </w:r>
          </w:p>
          <w:p w14:paraId="408F4E34" w14:textId="2006703C" w:rsidR="00736246" w:rsidRPr="003E62CF" w:rsidRDefault="00454838" w:rsidP="003F7800">
            <w:pPr>
              <w:pStyle w:val="Default"/>
              <w:jc w:val="both"/>
              <w:divId w:val="2099130195"/>
              <w:rPr>
                <w:color w:val="auto"/>
                <w:lang w:val="uk-UA"/>
              </w:rPr>
            </w:pPr>
            <w:r w:rsidRPr="003E62CF">
              <w:rPr>
                <w:color w:val="auto"/>
                <w:lang w:val="uk-UA"/>
              </w:rPr>
              <w:t xml:space="preserve">Розділ 3. </w:t>
            </w:r>
            <w:r w:rsidR="003E62CF" w:rsidRPr="003E62CF">
              <w:rPr>
                <w:lang w:val="uk-UA"/>
              </w:rPr>
              <w:t>Інжиніринг бізнес-процесів</w:t>
            </w:r>
          </w:p>
          <w:p w14:paraId="56A903FD" w14:textId="25B68C04" w:rsidR="00614924" w:rsidRPr="00233BA2" w:rsidRDefault="00614924" w:rsidP="003F7800">
            <w:pPr>
              <w:pStyle w:val="Default"/>
              <w:jc w:val="both"/>
              <w:divId w:val="2099130195"/>
              <w:rPr>
                <w:color w:val="auto"/>
                <w:lang w:val="uk-UA"/>
              </w:rPr>
            </w:pPr>
            <w:r w:rsidRPr="003E62CF">
              <w:rPr>
                <w:color w:val="auto"/>
                <w:lang w:val="uk-UA"/>
              </w:rPr>
              <w:t xml:space="preserve">Розділ 4. </w:t>
            </w:r>
            <w:r w:rsidR="003E62CF" w:rsidRPr="003E62CF">
              <w:rPr>
                <w:lang w:val="uk-UA"/>
              </w:rPr>
              <w:t>Реінжиніринг бізнес-процесів</w:t>
            </w:r>
          </w:p>
        </w:tc>
      </w:tr>
      <w:tr w:rsidR="008638DB" w:rsidRPr="008F2F64" w14:paraId="263D95A9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698F0D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045CA4DB" w14:textId="77777777" w:rsidR="008A012F" w:rsidRDefault="008A012F" w:rsidP="008A012F">
            <w:pPr>
              <w:pStyle w:val="11"/>
              <w:shd w:val="clear" w:color="auto" w:fill="FFFFFF"/>
              <w:spacing w:after="0" w:line="240" w:lineRule="auto"/>
              <w:ind w:left="34" w:firstLine="159"/>
              <w:jc w:val="both"/>
              <w:divId w:val="85762129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Формою семестрового контролю з дисципліни є </w:t>
            </w:r>
            <w:r w:rsidRPr="006D4F7A">
              <w:rPr>
                <w:rFonts w:ascii="Times New Roman" w:hAnsi="Times New Roman"/>
                <w:iCs/>
                <w:sz w:val="24"/>
                <w:szCs w:val="24"/>
              </w:rPr>
              <w:t>диференційований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залік.</w:t>
            </w:r>
          </w:p>
          <w:p w14:paraId="712D07E0" w14:textId="77777777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 xml:space="preserve">Оцінювання кожного розділу здійснюється за </w:t>
            </w:r>
            <w:r w:rsidR="003E7C38">
              <w:rPr>
                <w:lang w:val="uk-UA"/>
              </w:rPr>
              <w:t>прийнятою</w:t>
            </w:r>
            <w:r w:rsidRPr="005B51B7">
              <w:rPr>
                <w:lang w:val="uk-UA"/>
              </w:rPr>
              <w:t xml:space="preserve"> шкалою. </w:t>
            </w:r>
          </w:p>
          <w:p w14:paraId="6793FD8E" w14:textId="36FCB17B" w:rsidR="000C1AFF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>Оцінювання розділів 1</w:t>
            </w:r>
            <w:r w:rsidR="006D4F7A">
              <w:rPr>
                <w:lang w:val="uk-UA"/>
              </w:rPr>
              <w:t>, 2</w:t>
            </w:r>
            <w:r w:rsidR="00614924">
              <w:rPr>
                <w:lang w:val="uk-UA"/>
              </w:rPr>
              <w:t>, 3</w:t>
            </w:r>
            <w:r w:rsidR="003F7800">
              <w:rPr>
                <w:lang w:val="uk-UA"/>
              </w:rPr>
              <w:t xml:space="preserve"> </w:t>
            </w:r>
            <w:r w:rsidRPr="005B51B7">
              <w:rPr>
                <w:lang w:val="uk-UA"/>
              </w:rPr>
              <w:t xml:space="preserve">та </w:t>
            </w:r>
            <w:r w:rsidR="00614924">
              <w:rPr>
                <w:lang w:val="uk-UA"/>
              </w:rPr>
              <w:t>4</w:t>
            </w:r>
            <w:r w:rsidRPr="005B51B7">
              <w:rPr>
                <w:lang w:val="uk-UA"/>
              </w:rPr>
              <w:t xml:space="preserve"> здійснюється за результатами виконання контрольної роботи РК1 у тестовій формі.</w:t>
            </w:r>
          </w:p>
          <w:p w14:paraId="62C7E236" w14:textId="5910FD98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color w:val="000000" w:themeColor="text1"/>
                <w:lang w:val="uk-UA"/>
              </w:rPr>
            </w:pPr>
            <w:r w:rsidRPr="005B51B7">
              <w:rPr>
                <w:lang w:val="uk-UA"/>
              </w:rPr>
              <w:t>Необхідною умовою отримання позитивної оцінки з розділів 1, 2</w:t>
            </w:r>
            <w:r w:rsidR="00614924">
              <w:rPr>
                <w:lang w:val="uk-UA"/>
              </w:rPr>
              <w:t>, 3</w:t>
            </w:r>
            <w:r w:rsidRPr="005B51B7">
              <w:rPr>
                <w:color w:val="000000" w:themeColor="text1"/>
                <w:lang w:val="uk-UA"/>
              </w:rPr>
              <w:t xml:space="preserve"> та </w:t>
            </w:r>
            <w:r w:rsidR="00614924">
              <w:rPr>
                <w:color w:val="000000" w:themeColor="text1"/>
                <w:lang w:val="uk-UA"/>
              </w:rPr>
              <w:t>4</w:t>
            </w:r>
            <w:r w:rsidRPr="005B51B7">
              <w:rPr>
                <w:color w:val="000000" w:themeColor="text1"/>
                <w:lang w:val="uk-UA"/>
              </w:rPr>
              <w:t xml:space="preserve"> є відпрацювання та надання звіту з усіх </w:t>
            </w:r>
            <w:r w:rsidR="003E62CF">
              <w:rPr>
                <w:iCs/>
                <w:color w:val="auto"/>
                <w:lang w:val="uk-UA"/>
              </w:rPr>
              <w:t>практичних</w:t>
            </w:r>
            <w:r w:rsidRPr="005B51B7">
              <w:rPr>
                <w:color w:val="000000" w:themeColor="text1"/>
                <w:lang w:val="uk-UA"/>
              </w:rPr>
              <w:t xml:space="preserve"> робіт (та індивідуального завдання – для студентів заочної форми навчання) відповідного розділу.  </w:t>
            </w:r>
          </w:p>
          <w:p w14:paraId="784FBE1F" w14:textId="4D5DA285" w:rsidR="00736246" w:rsidRPr="005B51B7" w:rsidRDefault="000C1AFF" w:rsidP="00C7639D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F2257B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614924">
              <w:rPr>
                <w:lang w:val="uk-UA"/>
              </w:rPr>
              <w:t>чотирьох</w:t>
            </w:r>
            <w:r w:rsidRPr="00F2257B">
              <w:rPr>
                <w:lang w:val="uk-UA"/>
              </w:rPr>
              <w:t xml:space="preserve"> розділів з округленням до цілого числа</w:t>
            </w:r>
            <w:r w:rsidRPr="005B51B7">
              <w:rPr>
                <w:lang w:val="uk-UA"/>
              </w:rPr>
              <w:t>.</w:t>
            </w:r>
          </w:p>
        </w:tc>
      </w:tr>
      <w:tr w:rsidR="008638DB" w:rsidRPr="008638DB" w14:paraId="03660A00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3A34B8A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4A95AA20" w14:textId="77777777" w:rsidR="00C7639D" w:rsidRPr="008638DB" w:rsidRDefault="00C7639D" w:rsidP="008B545A">
            <w:pPr>
              <w:pStyle w:val="Default"/>
              <w:ind w:firstLine="211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6AAC61EB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72355B78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04030867" w14:textId="109CAB62" w:rsidR="00736246" w:rsidRPr="008638DB" w:rsidRDefault="00C7639D" w:rsidP="003E62CF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</w:t>
            </w:r>
            <w:r w:rsidR="003E62CF">
              <w:rPr>
                <w:iCs/>
                <w:color w:val="auto"/>
                <w:lang w:val="uk-UA"/>
              </w:rPr>
              <w:t>практичних</w:t>
            </w:r>
            <w:r w:rsidRPr="008638DB">
              <w:rPr>
                <w:color w:val="000000" w:themeColor="text1"/>
                <w:lang w:val="uk-UA"/>
              </w:rPr>
              <w:t xml:space="preserve"> заняттях, тягнуть </w:t>
            </w:r>
            <w:r w:rsidRPr="008638DB">
              <w:rPr>
                <w:color w:val="000000" w:themeColor="text1"/>
                <w:lang w:val="uk-UA"/>
              </w:rPr>
              <w:lastRenderedPageBreak/>
              <w:t>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14:paraId="2ED997B7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C9A4669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458C34FD" w14:textId="77777777"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14:paraId="7E1F6481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6C9E1E18" w14:textId="77777777"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11AF91DB" w14:textId="77777777" w:rsidR="003E62CF" w:rsidRPr="00BE3C95" w:rsidRDefault="003E62CF" w:rsidP="003E62CF">
            <w:pPr>
              <w:tabs>
                <w:tab w:val="left" w:pos="0"/>
              </w:tabs>
              <w:ind w:firstLine="709"/>
              <w:jc w:val="center"/>
              <w:divId w:val="396437054"/>
              <w:rPr>
                <w:b/>
                <w:i/>
                <w:sz w:val="28"/>
                <w:szCs w:val="28"/>
              </w:rPr>
            </w:pPr>
            <w:r w:rsidRPr="00BE3C95">
              <w:rPr>
                <w:b/>
                <w:i/>
                <w:sz w:val="28"/>
                <w:szCs w:val="28"/>
              </w:rPr>
              <w:t>Основна література</w:t>
            </w:r>
          </w:p>
          <w:p w14:paraId="177B2633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Управління бізнес-процесами: Навчально-методичний комплекс дисципліни [Електронний ресурс]: навчальний посібник для студентів спеціальності 073 «Менеджмент» / КПІ ім. Ігоря Сікорського; уклад.: Т.А. Коцко. – Електронні текстові дані (1 файл: 13,1 мб). – Київ: КПІ ім. Ігоря Сікорського, 2021. – 79 с.</w:t>
            </w:r>
          </w:p>
          <w:p w14:paraId="6A75295F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Системи менеджменту якості / А.М. Должанський, Н.М. Мосьпан, І.М. Ломов, О.С. Максакова. Дніпропетровськ : «Свідлер А.Г.», 2017. 563 с.</w:t>
            </w:r>
          </w:p>
          <w:p w14:paraId="2BC12038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Соловйова І.А., Братутін В.Г. Теорія систем та системний аналіз. Частина 1 : Конспект лекцій. Дніпропетровськ : НМетАУ, 2005. 54 с.</w:t>
            </w:r>
          </w:p>
          <w:p w14:paraId="2AFDBDBE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Соловйова І.А., Братутін В.Г. Теорія систем та системний аналіз. Частина 2 : Конспект лекцій. Дніпропетровськ : НМетАУ, 2005. 55 с.</w:t>
            </w:r>
          </w:p>
          <w:p w14:paraId="6364DABE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Соловйова І.А., Николаєнко Ю.М. Теорія систем та прийняття рішень. Частина ІІІ : Навч. посібник. Дніпро : НМетАУ, 2020. 43 с.</w:t>
            </w:r>
          </w:p>
          <w:p w14:paraId="2F28981F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Системний аналіз інформаційних процесів: Навч. посіб. / В. М. Варенко та ін. Київ : Університет «Україна», 2013. 203с. : URL : Системний аналіз (посібник).pdf (дата звернення 26.01.2025).</w:t>
            </w:r>
          </w:p>
          <w:p w14:paraId="4360A2B8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 xml:space="preserve">Бех В.I, Туленков М.В. Теорія систем і системний аналіз в управлінні: Підручник. Київ : Інтерсервіс, 2021. 680 с. </w:t>
            </w:r>
          </w:p>
          <w:p w14:paraId="6D4F554B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Проєктування інформаційних систем : Комп’ютерний практикум : URL : навчальний посібник для студентів спеціальності 122 «Комп’ютерні науки» для всіх спеціалізацій / Укладачі: Л. М. Добровська, О.В. Аверьянова; КПІ ім. Ігоря Сікорського. Електронні текстові дані (1 файл: 7,043 Мбайт). Київ : КПІ ім. Ігоря Сікорського, 2021. 202 с. (Дата звернення 10.01.24)</w:t>
            </w:r>
          </w:p>
          <w:p w14:paraId="17880008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IDEF : URL : https://www.maxzosim.com/idef/ (Дата звернення 16.11.24).</w:t>
            </w:r>
          </w:p>
          <w:p w14:paraId="5775E808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 xml:space="preserve">Олег Шепетяк, Оксана Шепетяк. ФІЛОСОФІЯ : Підручник. Львів: Місіонер, 2020. 784 с.  : URL : </w:t>
            </w:r>
            <w:hyperlink r:id="rId11" w:history="1">
              <w:r w:rsidRPr="003E62CF">
                <w:rPr>
                  <w:sz w:val="24"/>
                  <w:szCs w:val="24"/>
                </w:rPr>
                <w:t>https://elibrary.kubg.edu.ua/id/eprint/35525/2/O_Shepetiak_Philosophy_IFF.pdf</w:t>
              </w:r>
            </w:hyperlink>
            <w:r w:rsidRPr="003E62CF">
              <w:rPr>
                <w:sz w:val="24"/>
                <w:szCs w:val="24"/>
              </w:rPr>
              <w:t xml:space="preserve"> (дата звернення 28.04.2024)</w:t>
            </w:r>
          </w:p>
          <w:p w14:paraId="61534C6D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Креатология и интеллектуальные технологии инновационного развития: Учебник для вузов / Пигоров Г.С. и др. Днепропетровск : Пороги, 2003. 502с.</w:t>
            </w:r>
          </w:p>
          <w:p w14:paraId="53A7E36A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Буш Г.Я. Аналогия и техническое творчество. Рига : Авотс, 1981. 139с.</w:t>
            </w:r>
          </w:p>
          <w:p w14:paraId="6ACC2FF9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 xml:space="preserve">Файнзільберг Л.С., Жуковська О.А., Якимчук В.С. Теорія прийняття рішень: навч. посібник. Київ : КПІ ім. Ігоря Сікорського, 2017. 260 с. </w:t>
            </w:r>
          </w:p>
          <w:p w14:paraId="365954D3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lastRenderedPageBreak/>
              <w:t xml:space="preserve">Гнатієнко Г.М., Снитюк В.Є. Експертні технології прийняття рішень : Монографія. Київ : ТОВ «Маклаут», 2008. 444 с. </w:t>
            </w:r>
          </w:p>
          <w:p w14:paraId="1C17F5C0" w14:textId="77777777" w:rsidR="003E62CF" w:rsidRPr="003E62CF" w:rsidRDefault="003E62CF" w:rsidP="003E62CF">
            <w:pPr>
              <w:tabs>
                <w:tab w:val="left" w:pos="-709"/>
                <w:tab w:val="left" w:pos="-142"/>
              </w:tabs>
              <w:ind w:left="-426" w:hanging="283"/>
              <w:jc w:val="both"/>
              <w:divId w:val="396437054"/>
              <w:rPr>
                <w:sz w:val="24"/>
                <w:szCs w:val="24"/>
              </w:rPr>
            </w:pPr>
          </w:p>
          <w:p w14:paraId="5E3B8B15" w14:textId="77777777" w:rsidR="003E62CF" w:rsidRPr="003E62CF" w:rsidRDefault="003E62CF" w:rsidP="003E62CF">
            <w:pPr>
              <w:tabs>
                <w:tab w:val="left" w:pos="-142"/>
              </w:tabs>
              <w:spacing w:after="120"/>
              <w:ind w:left="-426" w:hanging="283"/>
              <w:jc w:val="center"/>
              <w:divId w:val="396437054"/>
              <w:rPr>
                <w:b/>
                <w:i/>
                <w:sz w:val="24"/>
                <w:szCs w:val="24"/>
              </w:rPr>
            </w:pPr>
            <w:r w:rsidRPr="003E62CF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2D5397A5" w14:textId="77777777" w:rsidR="003E62CF" w:rsidRPr="003E62CF" w:rsidRDefault="003E62CF" w:rsidP="003E62CF">
            <w:pPr>
              <w:pStyle w:val="a8"/>
              <w:tabs>
                <w:tab w:val="left" w:pos="-142"/>
              </w:tabs>
              <w:ind w:left="-426" w:hanging="283"/>
              <w:jc w:val="both"/>
              <w:divId w:val="396437054"/>
            </w:pPr>
          </w:p>
          <w:p w14:paraId="7AED67CF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Стартап : URL : http://ubr.ua/market/startup-time/ (дата звернення 15.09.24).</w:t>
            </w:r>
          </w:p>
          <w:p w14:paraId="00B46C5C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Андрушків Б.М., Піхурко A.І. Управлінська діагностика як спосіб пошуку напрямів покращення системи менеджменту на підприємстві. 2015. URL: https://core.ac.uk/download/pdf/60823796.pdf.</w:t>
            </w:r>
          </w:p>
          <w:p w14:paraId="24ADB826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Модель досконалості Європейського фонду управління якістю.  Київ : МЦ «ПРИРОСТ» : ЄФУЯ, 2001. 15 с.</w:t>
            </w:r>
          </w:p>
          <w:p w14:paraId="377E6286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Коментарі до моделі досконалості Європейського фонду управління якістю та рекомендації з проведення самооцінки підприємств (для учасників Українського національного конкурсу з якості). Київ : МЦ «ПРИРОСТ», 2001.  27 с.</w:t>
            </w:r>
          </w:p>
          <w:p w14:paraId="0696700F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 xml:space="preserve">ДСТУ ISO серій 9000, 14000, 22000, 26000, 27000, 31000, 45000, ISO 50001 (актуалізовані версії). </w:t>
            </w:r>
          </w:p>
          <w:p w14:paraId="5455A240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ДСТУ ISO 19011. Настанови щодо здійснення аудитів систем менеджменту якості. Київ : Держстандарт України (актуалізована версія).</w:t>
            </w:r>
          </w:p>
          <w:p w14:paraId="743E50EE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</w:p>
          <w:p w14:paraId="15B3B8F1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  <w:p w14:paraId="34A6CD51" w14:textId="4FE4A58A" w:rsidR="00736246" w:rsidRPr="00F25D8A" w:rsidRDefault="00736246" w:rsidP="003E62CF">
            <w:pPr>
              <w:pStyle w:val="a8"/>
              <w:tabs>
                <w:tab w:val="left" w:pos="495"/>
                <w:tab w:val="left" w:pos="637"/>
              </w:tabs>
              <w:ind w:left="1069"/>
              <w:jc w:val="both"/>
              <w:divId w:val="396437054"/>
              <w:rPr>
                <w:lang w:val="uk-UA"/>
              </w:rPr>
            </w:pPr>
            <w:bookmarkStart w:id="0" w:name="_GoBack"/>
            <w:bookmarkEnd w:id="0"/>
          </w:p>
        </w:tc>
      </w:tr>
    </w:tbl>
    <w:p w14:paraId="7D984ABD" w14:textId="77777777" w:rsidR="00C43818" w:rsidRPr="008638DB" w:rsidRDefault="00C43818" w:rsidP="003F7800">
      <w:pPr>
        <w:spacing w:after="120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215F5" w14:textId="77777777" w:rsidR="00311E73" w:rsidRDefault="00311E73" w:rsidP="003F7800">
      <w:r>
        <w:separator/>
      </w:r>
    </w:p>
  </w:endnote>
  <w:endnote w:type="continuationSeparator" w:id="0">
    <w:p w14:paraId="424AD711" w14:textId="77777777" w:rsidR="00311E73" w:rsidRDefault="00311E73" w:rsidP="003F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5BD13" w14:textId="77777777" w:rsidR="00311E73" w:rsidRDefault="00311E73" w:rsidP="003F7800">
      <w:r>
        <w:separator/>
      </w:r>
    </w:p>
  </w:footnote>
  <w:footnote w:type="continuationSeparator" w:id="0">
    <w:p w14:paraId="0EF6DB4F" w14:textId="77777777" w:rsidR="00311E73" w:rsidRDefault="00311E73" w:rsidP="003F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ACB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020F2B05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numFmt w:val="decimal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numFmt w:val="decimal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numFmt w:val="decimal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numFmt w:val="decimal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102CD"/>
    <w:rsid w:val="00031A34"/>
    <w:rsid w:val="00041FAB"/>
    <w:rsid w:val="000577EB"/>
    <w:rsid w:val="00067839"/>
    <w:rsid w:val="00072120"/>
    <w:rsid w:val="00086A86"/>
    <w:rsid w:val="0009410A"/>
    <w:rsid w:val="000A03B7"/>
    <w:rsid w:val="000A1BC7"/>
    <w:rsid w:val="000C1AFF"/>
    <w:rsid w:val="001014D1"/>
    <w:rsid w:val="00117624"/>
    <w:rsid w:val="00123EA6"/>
    <w:rsid w:val="00136AD6"/>
    <w:rsid w:val="00145F21"/>
    <w:rsid w:val="00182184"/>
    <w:rsid w:val="00184500"/>
    <w:rsid w:val="0019225C"/>
    <w:rsid w:val="001C1549"/>
    <w:rsid w:val="00204089"/>
    <w:rsid w:val="002201B9"/>
    <w:rsid w:val="00233BA2"/>
    <w:rsid w:val="00264553"/>
    <w:rsid w:val="002C1917"/>
    <w:rsid w:val="002E75AC"/>
    <w:rsid w:val="0030484E"/>
    <w:rsid w:val="00306EA8"/>
    <w:rsid w:val="00311E73"/>
    <w:rsid w:val="00315DC7"/>
    <w:rsid w:val="00331967"/>
    <w:rsid w:val="00332093"/>
    <w:rsid w:val="00381F98"/>
    <w:rsid w:val="003823D2"/>
    <w:rsid w:val="00384A62"/>
    <w:rsid w:val="00390574"/>
    <w:rsid w:val="003973E3"/>
    <w:rsid w:val="003E62CF"/>
    <w:rsid w:val="003E7C38"/>
    <w:rsid w:val="003F18FD"/>
    <w:rsid w:val="003F4BCB"/>
    <w:rsid w:val="003F7800"/>
    <w:rsid w:val="00413C90"/>
    <w:rsid w:val="00414BFE"/>
    <w:rsid w:val="00433DDE"/>
    <w:rsid w:val="00454838"/>
    <w:rsid w:val="004603E4"/>
    <w:rsid w:val="00485513"/>
    <w:rsid w:val="00494A66"/>
    <w:rsid w:val="00497763"/>
    <w:rsid w:val="004A219F"/>
    <w:rsid w:val="004C3264"/>
    <w:rsid w:val="004E0EBA"/>
    <w:rsid w:val="00501AB5"/>
    <w:rsid w:val="005263C0"/>
    <w:rsid w:val="00531CCA"/>
    <w:rsid w:val="00541048"/>
    <w:rsid w:val="00571818"/>
    <w:rsid w:val="00591247"/>
    <w:rsid w:val="005B2A53"/>
    <w:rsid w:val="005B51B7"/>
    <w:rsid w:val="005E13B2"/>
    <w:rsid w:val="00614924"/>
    <w:rsid w:val="006259AA"/>
    <w:rsid w:val="006462BC"/>
    <w:rsid w:val="0065283D"/>
    <w:rsid w:val="0069593F"/>
    <w:rsid w:val="006A234A"/>
    <w:rsid w:val="006A6DC4"/>
    <w:rsid w:val="006B5D73"/>
    <w:rsid w:val="006B6697"/>
    <w:rsid w:val="006C3520"/>
    <w:rsid w:val="006D4F7A"/>
    <w:rsid w:val="006F17FF"/>
    <w:rsid w:val="00703444"/>
    <w:rsid w:val="00736246"/>
    <w:rsid w:val="00744926"/>
    <w:rsid w:val="0076157E"/>
    <w:rsid w:val="00767B27"/>
    <w:rsid w:val="007745AC"/>
    <w:rsid w:val="00776CD1"/>
    <w:rsid w:val="007929FA"/>
    <w:rsid w:val="007B23EE"/>
    <w:rsid w:val="007C3E02"/>
    <w:rsid w:val="007F5892"/>
    <w:rsid w:val="00802034"/>
    <w:rsid w:val="00816589"/>
    <w:rsid w:val="0083193E"/>
    <w:rsid w:val="0084023B"/>
    <w:rsid w:val="00846A36"/>
    <w:rsid w:val="008638DB"/>
    <w:rsid w:val="0086641A"/>
    <w:rsid w:val="00872563"/>
    <w:rsid w:val="008837F5"/>
    <w:rsid w:val="00885FC2"/>
    <w:rsid w:val="00897301"/>
    <w:rsid w:val="008A012F"/>
    <w:rsid w:val="008A7EB5"/>
    <w:rsid w:val="008B09D6"/>
    <w:rsid w:val="008B545A"/>
    <w:rsid w:val="008E0243"/>
    <w:rsid w:val="008E5FE5"/>
    <w:rsid w:val="008F2B88"/>
    <w:rsid w:val="008F2F64"/>
    <w:rsid w:val="008F55B1"/>
    <w:rsid w:val="00903E39"/>
    <w:rsid w:val="00937F98"/>
    <w:rsid w:val="00951A11"/>
    <w:rsid w:val="0095666A"/>
    <w:rsid w:val="009636CF"/>
    <w:rsid w:val="00965C51"/>
    <w:rsid w:val="009A3ADC"/>
    <w:rsid w:val="009A4A70"/>
    <w:rsid w:val="009D5958"/>
    <w:rsid w:val="00A41636"/>
    <w:rsid w:val="00A43240"/>
    <w:rsid w:val="00A47092"/>
    <w:rsid w:val="00A51150"/>
    <w:rsid w:val="00A55E5D"/>
    <w:rsid w:val="00A574C0"/>
    <w:rsid w:val="00A6277F"/>
    <w:rsid w:val="00AA12DA"/>
    <w:rsid w:val="00AA55EC"/>
    <w:rsid w:val="00AB5A8D"/>
    <w:rsid w:val="00AD673A"/>
    <w:rsid w:val="00AF642C"/>
    <w:rsid w:val="00B07172"/>
    <w:rsid w:val="00B10D95"/>
    <w:rsid w:val="00B15D46"/>
    <w:rsid w:val="00B36895"/>
    <w:rsid w:val="00B41C97"/>
    <w:rsid w:val="00B4613F"/>
    <w:rsid w:val="00B52A7F"/>
    <w:rsid w:val="00B74156"/>
    <w:rsid w:val="00BC2B0F"/>
    <w:rsid w:val="00BC3ECD"/>
    <w:rsid w:val="00C04830"/>
    <w:rsid w:val="00C232CA"/>
    <w:rsid w:val="00C26BDA"/>
    <w:rsid w:val="00C303D2"/>
    <w:rsid w:val="00C43818"/>
    <w:rsid w:val="00C74212"/>
    <w:rsid w:val="00C7470E"/>
    <w:rsid w:val="00C7639D"/>
    <w:rsid w:val="00C856F1"/>
    <w:rsid w:val="00C9313D"/>
    <w:rsid w:val="00CA044D"/>
    <w:rsid w:val="00CB0BA4"/>
    <w:rsid w:val="00CC2A5F"/>
    <w:rsid w:val="00CD23CE"/>
    <w:rsid w:val="00CD3631"/>
    <w:rsid w:val="00CE0DC5"/>
    <w:rsid w:val="00CE5BCC"/>
    <w:rsid w:val="00CF5271"/>
    <w:rsid w:val="00D1472E"/>
    <w:rsid w:val="00D22961"/>
    <w:rsid w:val="00D32B3F"/>
    <w:rsid w:val="00D354F4"/>
    <w:rsid w:val="00D370D6"/>
    <w:rsid w:val="00D52043"/>
    <w:rsid w:val="00D93D63"/>
    <w:rsid w:val="00DD67D5"/>
    <w:rsid w:val="00DE715C"/>
    <w:rsid w:val="00E37614"/>
    <w:rsid w:val="00E43830"/>
    <w:rsid w:val="00E53FB6"/>
    <w:rsid w:val="00E85818"/>
    <w:rsid w:val="00ED12D6"/>
    <w:rsid w:val="00EE7DE3"/>
    <w:rsid w:val="00EF5949"/>
    <w:rsid w:val="00F2257B"/>
    <w:rsid w:val="00F24D3F"/>
    <w:rsid w:val="00F25D8A"/>
    <w:rsid w:val="00F37C79"/>
    <w:rsid w:val="00F41DD6"/>
    <w:rsid w:val="00FA2BE6"/>
    <w:rsid w:val="00FA46EF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3AB7F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1">
    <w:name w:val="heading 1"/>
    <w:basedOn w:val="a"/>
    <w:next w:val="a"/>
    <w:link w:val="10"/>
    <w:qFormat/>
    <w:rsid w:val="00C048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2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3">
    <w:name w:val="Незакрита згадка1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4">
    <w:name w:val="Обычный (веб)1"/>
    <w:basedOn w:val="a"/>
    <w:uiPriority w:val="99"/>
    <w:rsid w:val="00145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C048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8">
    <w:name w:val="List Paragraph"/>
    <w:basedOn w:val="a"/>
    <w:uiPriority w:val="1"/>
    <w:qFormat/>
    <w:rsid w:val="00CD3631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9">
    <w:name w:val="Balloon Text"/>
    <w:basedOn w:val="a"/>
    <w:link w:val="aa"/>
    <w:semiHidden/>
    <w:unhideWhenUsed/>
    <w:rsid w:val="00D354F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D354F4"/>
    <w:rPr>
      <w:rFonts w:ascii="Segoe UI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rsid w:val="003F7800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rsid w:val="003F7800"/>
    <w:rPr>
      <w:lang w:val="uk-UA"/>
    </w:rPr>
  </w:style>
  <w:style w:type="paragraph" w:styleId="ad">
    <w:name w:val="Body Text"/>
    <w:basedOn w:val="a"/>
    <w:link w:val="ae"/>
    <w:rsid w:val="003E62CF"/>
    <w:pPr>
      <w:spacing w:after="120"/>
    </w:pPr>
  </w:style>
  <w:style w:type="character" w:customStyle="1" w:styleId="ae">
    <w:name w:val="Основной текст Знак"/>
    <w:basedOn w:val="a0"/>
    <w:link w:val="ad"/>
    <w:rsid w:val="003E62CF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kubg.edu.ua/id/eprint/35525/2/O_Shepetiak_Philosophy_IFF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metau.edu.ua/ua/mdiv/i2037/p-2/e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dolzhanski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8432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115</cp:revision>
  <cp:lastPrinted>2023-06-20T07:48:00Z</cp:lastPrinted>
  <dcterms:created xsi:type="dcterms:W3CDTF">2023-01-07T22:35:00Z</dcterms:created>
  <dcterms:modified xsi:type="dcterms:W3CDTF">2025-10-27T14:35:00Z</dcterms:modified>
</cp:coreProperties>
</file>